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R4-2514271</w:t>
      </w:r>
      <w:bookmarkStart w:id="5" w:name="_GoBack"/>
      <w:bookmarkEnd w:id="5"/>
      <w:r>
        <w:rPr>
          <w:rFonts w:hint="eastAsia" w:ascii="Arial" w:hAnsi="Arial" w:cs="Arial"/>
          <w:b/>
          <w:sz w:val="24"/>
          <w:szCs w:val="24"/>
        </w:rPr>
        <w:t xml:space="preserve">                         </w:t>
      </w:r>
    </w:p>
    <w:p w14:paraId="7BB6C930">
      <w:pPr>
        <w:pStyle w:val="97"/>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US" w:eastAsia="zh-CN"/>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14:paraId="4D9A96CF">
      <w:pPr>
        <w:pStyle w:val="97"/>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p w14:paraId="7ABD45EE">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6.8.4.2.1</w:t>
      </w:r>
    </w:p>
    <w:p w14:paraId="70AF4440">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78B2A5D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the </w:t>
      </w:r>
      <w:r>
        <w:rPr>
          <w:rFonts w:hint="eastAsia" w:ascii="Arial" w:hAnsi="Arial" w:cs="Arial"/>
          <w:b/>
          <w:sz w:val="24"/>
          <w:szCs w:val="24"/>
          <w:lang w:val="en-US" w:eastAsia="zh-CN"/>
        </w:rPr>
        <w:t>OTA testing scope reduction</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328491F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22949CEE">
      <w:pPr>
        <w:pStyle w:val="59"/>
        <w:tabs>
          <w:tab w:val="left" w:pos="567"/>
          <w:tab w:val="clear" w:pos="1985"/>
        </w:tabs>
        <w:adjustRightInd w:val="0"/>
        <w:ind w:left="510" w:hanging="510"/>
      </w:pPr>
      <w:r>
        <w:t>Introduction</w:t>
      </w:r>
    </w:p>
    <w:p w14:paraId="5A7ABAB3">
      <w:pPr>
        <w:tabs>
          <w:tab w:val="left" w:pos="2127"/>
        </w:tabs>
        <w:spacing w:after="0"/>
        <w:rPr>
          <w:rFonts w:hint="default"/>
          <w:lang w:val="en-US"/>
        </w:rPr>
      </w:pPr>
      <w:r>
        <w:rPr>
          <w:rFonts w:hint="eastAsia"/>
        </w:rPr>
        <w:t>In the RAN#103 meeting, new WID for Rel-19 BS RF evolution has been approved and it</w:t>
      </w:r>
      <w:r>
        <w:t>’</w:t>
      </w:r>
      <w:r>
        <w:rPr>
          <w:rFonts w:hint="eastAsia"/>
        </w:rPr>
        <w:t>s expected to start the normative work from this April meeting. For t</w:t>
      </w:r>
      <w:r>
        <w:rPr>
          <w:rFonts w:hint="eastAsia"/>
          <w:lang w:val="en-US" w:eastAsia="zh-CN"/>
        </w:rPr>
        <w:t>he OTA testing scope reduction, we would like to share the further views based on the latest agreement in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F84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22857B0C">
            <w:pPr>
              <w:keepNext w:val="0"/>
              <w:keepLines w:val="0"/>
              <w:suppressLineNumbers w:val="0"/>
              <w:spacing w:before="0" w:beforeAutospacing="0" w:afterAutospacing="0"/>
              <w:ind w:left="0" w:right="0"/>
              <w:rPr>
                <w:rFonts w:hint="default"/>
                <w:b/>
                <w:bCs/>
                <w:iCs/>
                <w:color w:val="0070C0"/>
                <w:lang w:val="en-US" w:eastAsia="zh-CN"/>
              </w:rPr>
            </w:pPr>
            <w:r>
              <w:rPr>
                <w:rFonts w:hint="eastAsia"/>
                <w:b/>
                <w:bCs/>
                <w:iCs/>
                <w:color w:val="0070C0"/>
                <w:lang w:val="en-US" w:eastAsia="zh-CN"/>
              </w:rPr>
              <w:t>Issue 1-2-1: Out of band blocking</w:t>
            </w:r>
          </w:p>
          <w:p w14:paraId="75CE478F">
            <w:pPr>
              <w:pStyle w:val="38"/>
              <w:keepNext w:val="0"/>
              <w:keepLines w:val="0"/>
              <w:numPr>
                <w:ilvl w:val="0"/>
                <w:numId w:val="4"/>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lang w:val="en-US" w:eastAsia="zh-CN"/>
              </w:rPr>
            </w:pPr>
            <w:r>
              <w:rPr>
                <w:rFonts w:hint="eastAsia" w:eastAsia="宋体"/>
                <w:color w:val="0070C0"/>
                <w:szCs w:val="24"/>
                <w:lang w:val="en-US" w:eastAsia="zh-CN"/>
              </w:rPr>
              <w:t xml:space="preserve"> Agreement on step size of OOBB requirement, keep the following options for further discussion: </w:t>
            </w:r>
          </w:p>
          <w:p w14:paraId="059C2EBE">
            <w:pPr>
              <w:pStyle w:val="38"/>
              <w:keepNext w:val="0"/>
              <w:keepLines w:val="0"/>
              <w:numPr>
                <w:ilvl w:val="2"/>
                <w:numId w:val="4"/>
              </w:numPr>
              <w:suppressLineNumbers w:val="0"/>
              <w:overflowPunct/>
              <w:autoSpaceDE/>
              <w:autoSpaceDN/>
              <w:adjustRightInd/>
              <w:spacing w:before="0" w:beforeAutospacing="0" w:after="120" w:afterAutospacing="0"/>
              <w:ind w:left="1860" w:right="0" w:firstLineChars="0"/>
              <w:textAlignment w:val="auto"/>
              <w:rPr>
                <w:rFonts w:hint="default"/>
                <w:iCs/>
                <w:color w:val="0070C0"/>
                <w:lang w:val="en-US" w:eastAsia="zh-CN"/>
              </w:rPr>
            </w:pPr>
            <w:r>
              <w:rPr>
                <w:rFonts w:hint="eastAsia"/>
                <w:iCs/>
                <w:color w:val="0070C0"/>
                <w:lang w:val="en-US" w:eastAsia="zh-CN"/>
              </w:rPr>
              <w:t>Option 1: 1/3 of the minimum supported bandwidth</w:t>
            </w:r>
          </w:p>
          <w:p w14:paraId="53B9D0D1">
            <w:pPr>
              <w:pStyle w:val="38"/>
              <w:keepNext w:val="0"/>
              <w:keepLines w:val="0"/>
              <w:numPr>
                <w:ilvl w:val="3"/>
                <w:numId w:val="4"/>
              </w:numPr>
              <w:suppressLineNumbers w:val="0"/>
              <w:overflowPunct/>
              <w:autoSpaceDE/>
              <w:autoSpaceDN/>
              <w:adjustRightInd/>
              <w:spacing w:before="0" w:beforeAutospacing="0" w:after="120" w:afterAutospacing="0"/>
              <w:ind w:left="2280" w:right="0" w:firstLineChars="0"/>
              <w:textAlignment w:val="auto"/>
              <w:rPr>
                <w:rFonts w:hint="default"/>
                <w:iCs/>
                <w:color w:val="0070C0"/>
                <w:lang w:val="en-US" w:eastAsia="zh-CN"/>
              </w:rPr>
            </w:pPr>
            <w:r>
              <w:rPr>
                <w:rFonts w:hint="eastAsia"/>
                <w:iCs/>
                <w:color w:val="0070C0"/>
                <w:lang w:val="en-US" w:eastAsia="zh-CN"/>
              </w:rPr>
              <w:t xml:space="preserve">Option 1a: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4456"/>
              <w:gridCol w:w="1377"/>
            </w:tblGrid>
            <w:tr w14:paraId="22A1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14:paraId="1A8CB8B2">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Frequency range</w:t>
                  </w:r>
                </w:p>
                <w:p w14:paraId="2396452E">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(MHz)</w:t>
                  </w:r>
                </w:p>
              </w:tc>
              <w:tc>
                <w:tcPr>
                  <w:tcW w:w="4456" w:type="dxa"/>
                  <w:tcBorders>
                    <w:top w:val="single" w:color="auto" w:sz="4" w:space="0"/>
                    <w:left w:val="single" w:color="auto" w:sz="4" w:space="0"/>
                    <w:bottom w:val="single" w:color="auto" w:sz="4" w:space="0"/>
                    <w:right w:val="single" w:color="auto" w:sz="4" w:space="0"/>
                  </w:tcBorders>
                </w:tcPr>
                <w:p w14:paraId="56E8B83F">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Minimum supported</w:t>
                  </w:r>
                  <w:r>
                    <w:rPr>
                      <w:rFonts w:hint="eastAsia" w:ascii="Arial" w:hAnsi="Arial" w:eastAsia="等线" w:cs="Arial"/>
                      <w:b/>
                      <w:i/>
                      <w:kern w:val="2"/>
                      <w:sz w:val="18"/>
                      <w:szCs w:val="22"/>
                      <w:lang w:val="it-IT"/>
                    </w:rPr>
                    <w:t xml:space="preserve"> BS channel bandwidth</w:t>
                  </w:r>
                  <w:r>
                    <w:rPr>
                      <w:rFonts w:hint="eastAsia" w:ascii="Arial" w:hAnsi="Arial" w:eastAsia="等线" w:cs="Arial"/>
                      <w:b/>
                      <w:kern w:val="2"/>
                      <w:sz w:val="18"/>
                      <w:szCs w:val="22"/>
                      <w:lang w:val="it-IT"/>
                    </w:rPr>
                    <w:t xml:space="preserve"> (MHz)</w:t>
                  </w:r>
                </w:p>
              </w:tc>
              <w:tc>
                <w:tcPr>
                  <w:tcW w:w="1377" w:type="dxa"/>
                  <w:tcBorders>
                    <w:top w:val="single" w:color="auto" w:sz="4" w:space="0"/>
                    <w:left w:val="single" w:color="auto" w:sz="4" w:space="0"/>
                    <w:bottom w:val="single" w:color="auto" w:sz="4" w:space="0"/>
                    <w:right w:val="single" w:color="auto" w:sz="4" w:space="0"/>
                  </w:tcBorders>
                </w:tcPr>
                <w:p w14:paraId="38F12E1E">
                  <w:pPr>
                    <w:keepNext/>
                    <w:keepLines/>
                    <w:suppressLineNumbers w:val="0"/>
                    <w:spacing w:before="0" w:beforeAutospacing="0" w:after="0" w:afterAutospacing="0"/>
                    <w:ind w:left="0" w:right="0"/>
                    <w:jc w:val="center"/>
                    <w:rPr>
                      <w:rFonts w:hint="default" w:ascii="Arial" w:hAnsi="Arial" w:eastAsia="等线" w:cs="Arial"/>
                      <w:b/>
                      <w:kern w:val="2"/>
                      <w:sz w:val="18"/>
                      <w:szCs w:val="22"/>
                    </w:rPr>
                  </w:pPr>
                  <w:r>
                    <w:rPr>
                      <w:rFonts w:hint="eastAsia" w:ascii="Arial" w:hAnsi="Arial" w:eastAsia="等线" w:cs="Arial"/>
                      <w:b/>
                      <w:kern w:val="2"/>
                      <w:sz w:val="18"/>
                      <w:szCs w:val="22"/>
                      <w:lang w:val="en-US"/>
                    </w:rPr>
                    <w:t>Measurement</w:t>
                  </w:r>
                </w:p>
                <w:p w14:paraId="1782F796">
                  <w:pPr>
                    <w:keepNext/>
                    <w:keepLines/>
                    <w:suppressLineNumbers w:val="0"/>
                    <w:spacing w:before="0" w:beforeAutospacing="0" w:after="0" w:afterAutospacing="0"/>
                    <w:ind w:left="0" w:right="0"/>
                    <w:jc w:val="center"/>
                    <w:rPr>
                      <w:rFonts w:hint="default" w:ascii="Arial" w:hAnsi="Arial" w:eastAsia="等线" w:cs="Arial"/>
                      <w:b/>
                      <w:kern w:val="2"/>
                      <w:sz w:val="18"/>
                      <w:szCs w:val="22"/>
                      <w:lang w:val="en-US"/>
                    </w:rPr>
                  </w:pPr>
                  <w:r>
                    <w:rPr>
                      <w:rFonts w:hint="eastAsia" w:ascii="Arial" w:hAnsi="Arial" w:eastAsia="等线" w:cs="Arial"/>
                      <w:b/>
                      <w:kern w:val="2"/>
                      <w:sz w:val="18"/>
                      <w:szCs w:val="22"/>
                      <w:lang w:val="en-US"/>
                    </w:rPr>
                    <w:t>step size</w:t>
                  </w:r>
                </w:p>
                <w:p w14:paraId="1661024C">
                  <w:pPr>
                    <w:keepNext/>
                    <w:keepLines/>
                    <w:suppressLineNumbers w:val="0"/>
                    <w:spacing w:before="0" w:beforeAutospacing="0" w:after="0" w:afterAutospacing="0"/>
                    <w:ind w:left="0" w:right="0"/>
                    <w:jc w:val="center"/>
                    <w:rPr>
                      <w:rFonts w:hint="default" w:ascii="Arial" w:hAnsi="Arial" w:eastAsia="等线" w:cs="Arial"/>
                      <w:b/>
                      <w:kern w:val="2"/>
                      <w:sz w:val="18"/>
                      <w:szCs w:val="22"/>
                      <w:lang w:val="en-US"/>
                    </w:rPr>
                  </w:pPr>
                  <w:r>
                    <w:rPr>
                      <w:rFonts w:hint="eastAsia" w:ascii="Arial" w:hAnsi="Arial" w:eastAsia="等线" w:cs="Arial"/>
                      <w:b/>
                      <w:kern w:val="2"/>
                      <w:sz w:val="18"/>
                      <w:szCs w:val="22"/>
                      <w:lang w:val="en-US"/>
                    </w:rPr>
                    <w:t>(MHz)</w:t>
                  </w:r>
                </w:p>
              </w:tc>
            </w:tr>
            <w:tr w14:paraId="27BE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nil"/>
                    <w:right w:val="single" w:color="auto" w:sz="4" w:space="0"/>
                  </w:tcBorders>
                </w:tcPr>
                <w:p w14:paraId="35EA5EA3">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FR1</w:t>
                  </w:r>
                </w:p>
              </w:tc>
              <w:tc>
                <w:tcPr>
                  <w:tcW w:w="4456" w:type="dxa"/>
                  <w:tcBorders>
                    <w:top w:val="single" w:color="auto" w:sz="4" w:space="0"/>
                    <w:left w:val="single" w:color="auto" w:sz="4" w:space="0"/>
                    <w:bottom w:val="single" w:color="auto" w:sz="4" w:space="0"/>
                    <w:right w:val="single" w:color="auto" w:sz="4" w:space="0"/>
                  </w:tcBorders>
                </w:tcPr>
                <w:p w14:paraId="7B3D6CFA">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5</w:t>
                  </w:r>
                </w:p>
              </w:tc>
              <w:tc>
                <w:tcPr>
                  <w:tcW w:w="1377" w:type="dxa"/>
                  <w:tcBorders>
                    <w:top w:val="single" w:color="auto" w:sz="4" w:space="0"/>
                    <w:left w:val="single" w:color="auto" w:sz="4" w:space="0"/>
                    <w:bottom w:val="single" w:color="auto" w:sz="4" w:space="0"/>
                    <w:right w:val="single" w:color="auto" w:sz="4" w:space="0"/>
                  </w:tcBorders>
                </w:tcPr>
                <w:p w14:paraId="7E8AA3E2">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1</w:t>
                  </w:r>
                </w:p>
              </w:tc>
            </w:tr>
            <w:tr w14:paraId="7C8C7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nil"/>
                    <w:right w:val="single" w:color="auto" w:sz="4" w:space="0"/>
                  </w:tcBorders>
                </w:tcPr>
                <w:p w14:paraId="42D3DC9E">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54C36B85">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10</w:t>
                  </w:r>
                </w:p>
              </w:tc>
              <w:tc>
                <w:tcPr>
                  <w:tcW w:w="1377" w:type="dxa"/>
                  <w:tcBorders>
                    <w:top w:val="single" w:color="auto" w:sz="4" w:space="0"/>
                    <w:left w:val="single" w:color="auto" w:sz="4" w:space="0"/>
                    <w:bottom w:val="single" w:color="auto" w:sz="4" w:space="0"/>
                    <w:right w:val="single" w:color="auto" w:sz="4" w:space="0"/>
                  </w:tcBorders>
                </w:tcPr>
                <w:p w14:paraId="6800AA27">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3</w:t>
                  </w:r>
                </w:p>
              </w:tc>
            </w:tr>
            <w:tr w14:paraId="2428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single" w:color="auto" w:sz="4" w:space="0"/>
                    <w:right w:val="single" w:color="auto" w:sz="4" w:space="0"/>
                  </w:tcBorders>
                </w:tcPr>
                <w:p w14:paraId="3398DEE8">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0AAC4792">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 xml:space="preserve">20 </w:t>
                  </w:r>
                </w:p>
              </w:tc>
              <w:tc>
                <w:tcPr>
                  <w:tcW w:w="1377" w:type="dxa"/>
                  <w:tcBorders>
                    <w:top w:val="single" w:color="auto" w:sz="4" w:space="0"/>
                    <w:left w:val="single" w:color="auto" w:sz="4" w:space="0"/>
                    <w:bottom w:val="single" w:color="auto" w:sz="4" w:space="0"/>
                    <w:right w:val="single" w:color="auto" w:sz="4" w:space="0"/>
                  </w:tcBorders>
                </w:tcPr>
                <w:p w14:paraId="0E4264FD">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6</w:t>
                  </w:r>
                </w:p>
              </w:tc>
            </w:tr>
          </w:tbl>
          <w:p w14:paraId="556E3F3C">
            <w:pPr>
              <w:pStyle w:val="38"/>
              <w:keepNext w:val="0"/>
              <w:keepLines w:val="0"/>
              <w:numPr>
                <w:ilvl w:val="0"/>
                <w:numId w:val="5"/>
              </w:numPr>
              <w:suppressLineNumbers w:val="0"/>
              <w:overflowPunct/>
              <w:autoSpaceDE/>
              <w:autoSpaceDN/>
              <w:adjustRightInd/>
              <w:spacing w:before="0" w:beforeAutospacing="0" w:after="120" w:afterAutospacing="0"/>
              <w:ind w:left="1780" w:right="0" w:hanging="360" w:firstLineChars="0"/>
              <w:textAlignment w:val="auto"/>
              <w:rPr>
                <w:rFonts w:hint="default" w:eastAsia="宋体"/>
                <w:color w:val="0070C0"/>
                <w:szCs w:val="24"/>
                <w:lang w:val="en-US" w:eastAsia="zh-CN"/>
              </w:rPr>
            </w:pPr>
            <w:r>
              <w:rPr>
                <w:rFonts w:hint="default" w:eastAsia="宋体"/>
                <w:color w:val="0070C0"/>
                <w:szCs w:val="24"/>
                <w:lang w:val="en-US" w:eastAsia="zh-CN"/>
              </w:rPr>
              <w:t>Option 2: use 2/3 of the test signal configuration channel bandwidths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4456"/>
              <w:gridCol w:w="1377"/>
            </w:tblGrid>
            <w:tr w14:paraId="5C08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14:paraId="29642534">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Frequency range</w:t>
                  </w:r>
                </w:p>
                <w:p w14:paraId="01F3FC09">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(MHz)</w:t>
                  </w:r>
                </w:p>
              </w:tc>
              <w:tc>
                <w:tcPr>
                  <w:tcW w:w="4456" w:type="dxa"/>
                  <w:tcBorders>
                    <w:top w:val="single" w:color="auto" w:sz="4" w:space="0"/>
                    <w:left w:val="single" w:color="auto" w:sz="4" w:space="0"/>
                    <w:bottom w:val="single" w:color="auto" w:sz="4" w:space="0"/>
                    <w:right w:val="single" w:color="auto" w:sz="4" w:space="0"/>
                  </w:tcBorders>
                </w:tcPr>
                <w:p w14:paraId="081884F8">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Minimum supported</w:t>
                  </w:r>
                  <w:r>
                    <w:rPr>
                      <w:rFonts w:hint="eastAsia" w:ascii="Arial" w:hAnsi="Arial" w:eastAsia="等线" w:cs="Arial"/>
                      <w:b/>
                      <w:i/>
                      <w:kern w:val="2"/>
                      <w:sz w:val="18"/>
                      <w:szCs w:val="22"/>
                      <w:lang w:val="it-IT"/>
                    </w:rPr>
                    <w:t xml:space="preserve"> BS channel bandwidth</w:t>
                  </w:r>
                  <w:r>
                    <w:rPr>
                      <w:rFonts w:hint="eastAsia" w:ascii="Arial" w:hAnsi="Arial" w:eastAsia="等线" w:cs="Arial"/>
                      <w:b/>
                      <w:kern w:val="2"/>
                      <w:sz w:val="18"/>
                      <w:szCs w:val="22"/>
                      <w:lang w:val="it-IT"/>
                    </w:rPr>
                    <w:t xml:space="preserve"> (MHz)</w:t>
                  </w:r>
                </w:p>
              </w:tc>
              <w:tc>
                <w:tcPr>
                  <w:tcW w:w="1377" w:type="dxa"/>
                  <w:tcBorders>
                    <w:top w:val="single" w:color="auto" w:sz="4" w:space="0"/>
                    <w:left w:val="single" w:color="auto" w:sz="4" w:space="0"/>
                    <w:bottom w:val="single" w:color="auto" w:sz="4" w:space="0"/>
                    <w:right w:val="single" w:color="auto" w:sz="4" w:space="0"/>
                  </w:tcBorders>
                </w:tcPr>
                <w:p w14:paraId="2FB1CB34">
                  <w:pPr>
                    <w:keepNext/>
                    <w:keepLines/>
                    <w:suppressLineNumbers w:val="0"/>
                    <w:spacing w:before="0" w:beforeAutospacing="0" w:after="0" w:afterAutospacing="0"/>
                    <w:ind w:left="0" w:right="0"/>
                    <w:jc w:val="center"/>
                    <w:rPr>
                      <w:rFonts w:hint="default" w:ascii="Arial" w:hAnsi="Arial" w:eastAsia="等线" w:cs="Arial"/>
                      <w:b/>
                      <w:kern w:val="2"/>
                      <w:sz w:val="18"/>
                      <w:szCs w:val="22"/>
                    </w:rPr>
                  </w:pPr>
                  <w:r>
                    <w:rPr>
                      <w:rFonts w:hint="eastAsia" w:ascii="Arial" w:hAnsi="Arial" w:eastAsia="等线" w:cs="Arial"/>
                      <w:b/>
                      <w:kern w:val="2"/>
                      <w:sz w:val="18"/>
                      <w:szCs w:val="22"/>
                      <w:lang w:val="en-US"/>
                    </w:rPr>
                    <w:t>Measurement</w:t>
                  </w:r>
                </w:p>
                <w:p w14:paraId="52CD61B2">
                  <w:pPr>
                    <w:keepNext/>
                    <w:keepLines/>
                    <w:suppressLineNumbers w:val="0"/>
                    <w:spacing w:before="0" w:beforeAutospacing="0" w:after="0" w:afterAutospacing="0"/>
                    <w:ind w:left="0" w:right="0"/>
                    <w:jc w:val="center"/>
                    <w:rPr>
                      <w:rFonts w:hint="default" w:ascii="Arial" w:hAnsi="Arial" w:eastAsia="等线" w:cs="Arial"/>
                      <w:b/>
                      <w:kern w:val="2"/>
                      <w:sz w:val="18"/>
                      <w:szCs w:val="22"/>
                      <w:lang w:val="en-US"/>
                    </w:rPr>
                  </w:pPr>
                  <w:r>
                    <w:rPr>
                      <w:rFonts w:hint="eastAsia" w:ascii="Arial" w:hAnsi="Arial" w:eastAsia="等线" w:cs="Arial"/>
                      <w:b/>
                      <w:kern w:val="2"/>
                      <w:sz w:val="18"/>
                      <w:szCs w:val="22"/>
                      <w:lang w:val="en-US"/>
                    </w:rPr>
                    <w:t>step size</w:t>
                  </w:r>
                </w:p>
                <w:p w14:paraId="2C29D620">
                  <w:pPr>
                    <w:keepNext/>
                    <w:keepLines/>
                    <w:suppressLineNumbers w:val="0"/>
                    <w:spacing w:before="0" w:beforeAutospacing="0" w:after="0" w:afterAutospacing="0"/>
                    <w:ind w:left="0" w:right="0"/>
                    <w:jc w:val="center"/>
                    <w:rPr>
                      <w:rFonts w:hint="default" w:ascii="Arial" w:hAnsi="Arial" w:eastAsia="等线" w:cs="Arial"/>
                      <w:b/>
                      <w:kern w:val="2"/>
                      <w:sz w:val="18"/>
                      <w:szCs w:val="22"/>
                      <w:lang w:val="en-US"/>
                    </w:rPr>
                  </w:pPr>
                  <w:r>
                    <w:rPr>
                      <w:rFonts w:hint="eastAsia" w:ascii="Arial" w:hAnsi="Arial" w:eastAsia="等线" w:cs="Arial"/>
                      <w:b/>
                      <w:kern w:val="2"/>
                      <w:sz w:val="18"/>
                      <w:szCs w:val="22"/>
                      <w:lang w:val="en-US"/>
                    </w:rPr>
                    <w:t>(MHz)</w:t>
                  </w:r>
                </w:p>
              </w:tc>
            </w:tr>
            <w:tr w14:paraId="523A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nil"/>
                    <w:right w:val="single" w:color="auto" w:sz="4" w:space="0"/>
                  </w:tcBorders>
                </w:tcPr>
                <w:p w14:paraId="458CA40E">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FR1</w:t>
                  </w:r>
                </w:p>
              </w:tc>
              <w:tc>
                <w:tcPr>
                  <w:tcW w:w="4456" w:type="dxa"/>
                  <w:tcBorders>
                    <w:top w:val="single" w:color="auto" w:sz="4" w:space="0"/>
                    <w:left w:val="single" w:color="auto" w:sz="4" w:space="0"/>
                    <w:bottom w:val="single" w:color="auto" w:sz="4" w:space="0"/>
                    <w:right w:val="single" w:color="auto" w:sz="4" w:space="0"/>
                  </w:tcBorders>
                </w:tcPr>
                <w:p w14:paraId="3F7E7A90">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5</w:t>
                  </w:r>
                </w:p>
              </w:tc>
              <w:tc>
                <w:tcPr>
                  <w:tcW w:w="1377" w:type="dxa"/>
                  <w:tcBorders>
                    <w:top w:val="single" w:color="auto" w:sz="4" w:space="0"/>
                    <w:left w:val="single" w:color="auto" w:sz="4" w:space="0"/>
                    <w:bottom w:val="single" w:color="auto" w:sz="4" w:space="0"/>
                    <w:right w:val="single" w:color="auto" w:sz="4" w:space="0"/>
                  </w:tcBorders>
                </w:tcPr>
                <w:p w14:paraId="7230B91B">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default" w:ascii="Arial" w:hAnsi="Arial" w:eastAsia="等线" w:cs="Arial"/>
                      <w:kern w:val="2"/>
                      <w:sz w:val="18"/>
                      <w:szCs w:val="22"/>
                      <w:lang w:val="en-US"/>
                    </w:rPr>
                    <w:t>3</w:t>
                  </w:r>
                </w:p>
              </w:tc>
            </w:tr>
            <w:tr w14:paraId="4D8F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nil"/>
                    <w:right w:val="single" w:color="auto" w:sz="4" w:space="0"/>
                  </w:tcBorders>
                </w:tcPr>
                <w:p w14:paraId="1E3654C6">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255F014E">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10</w:t>
                  </w:r>
                </w:p>
              </w:tc>
              <w:tc>
                <w:tcPr>
                  <w:tcW w:w="1377" w:type="dxa"/>
                  <w:tcBorders>
                    <w:top w:val="single" w:color="auto" w:sz="4" w:space="0"/>
                    <w:left w:val="single" w:color="auto" w:sz="4" w:space="0"/>
                    <w:bottom w:val="single" w:color="auto" w:sz="4" w:space="0"/>
                    <w:right w:val="single" w:color="auto" w:sz="4" w:space="0"/>
                  </w:tcBorders>
                </w:tcPr>
                <w:p w14:paraId="48C1CADA">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default" w:ascii="Arial" w:hAnsi="Arial" w:eastAsia="等线" w:cs="Arial"/>
                      <w:kern w:val="2"/>
                      <w:sz w:val="18"/>
                      <w:szCs w:val="22"/>
                      <w:lang w:val="en-US"/>
                    </w:rPr>
                    <w:t>6</w:t>
                  </w:r>
                </w:p>
              </w:tc>
            </w:tr>
            <w:tr w14:paraId="453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single" w:color="auto" w:sz="4" w:space="0"/>
                    <w:right w:val="single" w:color="auto" w:sz="4" w:space="0"/>
                  </w:tcBorders>
                </w:tcPr>
                <w:p w14:paraId="2559ED8A">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05FA7AD6">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 xml:space="preserve">20 </w:t>
                  </w:r>
                </w:p>
              </w:tc>
              <w:tc>
                <w:tcPr>
                  <w:tcW w:w="1377" w:type="dxa"/>
                  <w:tcBorders>
                    <w:top w:val="single" w:color="auto" w:sz="4" w:space="0"/>
                    <w:left w:val="single" w:color="auto" w:sz="4" w:space="0"/>
                    <w:bottom w:val="single" w:color="auto" w:sz="4" w:space="0"/>
                    <w:right w:val="single" w:color="auto" w:sz="4" w:space="0"/>
                  </w:tcBorders>
                </w:tcPr>
                <w:p w14:paraId="754723F4">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default" w:ascii="Arial" w:hAnsi="Arial" w:eastAsia="等线" w:cs="Arial"/>
                      <w:kern w:val="2"/>
                      <w:sz w:val="18"/>
                      <w:szCs w:val="22"/>
                      <w:lang w:val="en-US"/>
                    </w:rPr>
                    <w:t>13</w:t>
                  </w:r>
                </w:p>
              </w:tc>
            </w:tr>
          </w:tbl>
          <w:p w14:paraId="1C6D974E">
            <w:pPr>
              <w:pStyle w:val="38"/>
              <w:keepNext w:val="0"/>
              <w:keepLines w:val="0"/>
              <w:numPr>
                <w:ilvl w:val="0"/>
                <w:numId w:val="0"/>
              </w:numPr>
              <w:suppressLineNumbers w:val="0"/>
              <w:overflowPunct/>
              <w:autoSpaceDE/>
              <w:autoSpaceDN/>
              <w:adjustRightInd/>
              <w:spacing w:before="0" w:beforeAutospacing="0" w:after="120" w:afterAutospacing="0"/>
              <w:ind w:left="0" w:right="0" w:rightChars="0"/>
              <w:textAlignment w:val="auto"/>
              <w:rPr>
                <w:rFonts w:hint="default"/>
              </w:rPr>
            </w:pPr>
          </w:p>
        </w:tc>
      </w:tr>
    </w:tbl>
    <w:p w14:paraId="7ECC8703">
      <w:pPr>
        <w:pStyle w:val="59"/>
        <w:tabs>
          <w:tab w:val="left" w:pos="567"/>
          <w:tab w:val="clear" w:pos="1985"/>
        </w:tabs>
        <w:adjustRightInd w:val="0"/>
        <w:ind w:left="510" w:hanging="510"/>
        <w:rPr>
          <w:rFonts w:eastAsia="Times New Roman"/>
        </w:rPr>
      </w:pPr>
      <w:bookmarkStart w:id="1" w:name="OLE_LINK10"/>
      <w:bookmarkStart w:id="2" w:name="OLE_LINK14"/>
      <w:bookmarkStart w:id="3" w:name="OLE_LINK20"/>
      <w:bookmarkStart w:id="4" w:name="OLE_LINK13"/>
      <w:r>
        <w:rPr>
          <w:rFonts w:hint="eastAsia"/>
        </w:rPr>
        <w:t>Discussion</w:t>
      </w:r>
      <w:r>
        <w:rPr>
          <w:rFonts w:hint="eastAsia" w:eastAsia="Times New Roman"/>
        </w:rPr>
        <w:t xml:space="preserve"> </w:t>
      </w:r>
    </w:p>
    <w:p w14:paraId="64036CF7">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b/>
        </w:rPr>
      </w:pPr>
      <w:r>
        <w:rPr>
          <w:rFonts w:hint="eastAsia"/>
          <w:b/>
          <w:lang w:val="en-US" w:eastAsia="zh-CN"/>
        </w:rPr>
        <w:t xml:space="preserve">2.1. </w:t>
      </w:r>
      <w:r>
        <w:rPr>
          <w:b/>
        </w:rPr>
        <w:t>RX out of band blocking</w:t>
      </w:r>
    </w:p>
    <w:p w14:paraId="5C34DA83">
      <w:pPr>
        <w:rPr>
          <w:rFonts w:hint="default"/>
          <w:lang w:val="en-US" w:eastAsia="zh-CN"/>
        </w:rPr>
      </w:pPr>
      <w:r>
        <w:rPr>
          <w:rFonts w:hint="eastAsia" w:ascii="Times New Roman" w:hAnsi="Times New Roman" w:cs="Times New Roman"/>
          <w:lang w:val="en-US" w:eastAsia="zh-CN"/>
        </w:rPr>
        <w:t xml:space="preserve">It is well known that RX out of blocking requirement is another most time consuming requirement from receiver perspective in addition to transmitter spurious emission requirement. We also have similar discussion for FR2 BS OOBB requirement in terms of step size for CW signal. The corresponding technical justification is captured in TR 38.817-02. For FR1 BS OOBB requirement testing, the same principle could be reused to </w:t>
      </w:r>
      <w:r>
        <w:t>reduce the amount of time used for the time-consuming OTA conformance testing, while continue to ensure that any spurious response within the receive bandwidth will still be verified with sufficient granularity</w:t>
      </w:r>
      <w:r>
        <w:rPr>
          <w:rFonts w:hint="eastAsia"/>
          <w:lang w:val="en-US" w:eastAsia="zh-CN"/>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C8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63FB7D4">
            <w:pPr>
              <w:pStyle w:val="18"/>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Extracted from TR38.817-02</w:t>
            </w:r>
          </w:p>
          <w:p w14:paraId="065B0324">
            <w:pPr>
              <w:pStyle w:val="18"/>
              <w:keepNext w:val="0"/>
              <w:keepLines w:val="0"/>
              <w:suppressLineNumbers w:val="0"/>
              <w:spacing w:before="0" w:beforeAutospacing="0" w:afterAutospacing="0"/>
              <w:ind w:left="0" w:right="0"/>
              <w:rPr>
                <w:rFonts w:hint="default"/>
              </w:rPr>
            </w:pPr>
            <w:r>
              <w:rPr>
                <w:rFonts w:hint="default"/>
              </w:rPr>
              <w:t xml:space="preserve">The base station out-of-band blocking requirement is tested with a CW interferer and the wanted uplink signal. A spurious response occurs when the </w:t>
            </w:r>
            <w:r>
              <w:rPr>
                <w:rFonts w:hint="default"/>
                <w:i/>
              </w:rPr>
              <w:t>m</w:t>
            </w:r>
            <w:r>
              <w:rPr>
                <w:rFonts w:hint="default"/>
              </w:rPr>
              <w:t xml:space="preserve">-th harmonic of the interferer frequency mixes with the </w:t>
            </w:r>
            <w:r>
              <w:rPr>
                <w:rFonts w:hint="default"/>
                <w:i/>
              </w:rPr>
              <w:t>n</w:t>
            </w:r>
            <w:r>
              <w:rPr>
                <w:rFonts w:hint="default"/>
              </w:rP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Pr>
                <w:rFonts w:hint="default"/>
                <w:i/>
              </w:rPr>
              <w:t>m·f</w:t>
            </w:r>
            <w:r>
              <w:rPr>
                <w:rFonts w:hint="default"/>
                <w:i/>
                <w:vertAlign w:val="subscript"/>
              </w:rPr>
              <w:t>CW</w:t>
            </w:r>
            <w:r>
              <w:rPr>
                <w:rFonts w:hint="default"/>
              </w:rPr>
              <w:t>±</w:t>
            </w:r>
            <w:r>
              <w:rPr>
                <w:rFonts w:hint="default"/>
                <w:i/>
              </w:rPr>
              <w:t>n·f</w:t>
            </w:r>
            <w:r>
              <w:rPr>
                <w:rFonts w:hint="default"/>
                <w:i/>
                <w:vertAlign w:val="subscript"/>
              </w:rPr>
              <w:t>internal</w:t>
            </w:r>
            <w:r>
              <w:rPr>
                <w:rFonts w:hint="default"/>
              </w:rPr>
              <w:t xml:space="preserve">, where </w:t>
            </w:r>
            <w:r>
              <w:rPr>
                <w:rFonts w:hint="default"/>
                <w:i/>
                <w:color w:val="0000FF"/>
              </w:rPr>
              <w:t>f</w:t>
            </w:r>
            <w:r>
              <w:rPr>
                <w:rFonts w:hint="default"/>
                <w:i/>
                <w:color w:val="0000FF"/>
                <w:vertAlign w:val="subscript"/>
              </w:rPr>
              <w:t>CW</w:t>
            </w:r>
            <w:r>
              <w:rPr>
                <w:rFonts w:hint="default"/>
                <w:color w:val="0000FF"/>
              </w:rPr>
              <w:t xml:space="preserve"> is the interferer frequency</w:t>
            </w:r>
            <w:r>
              <w:rPr>
                <w:rFonts w:hint="default"/>
              </w:rPr>
              <w:t xml:space="preserve"> and </w:t>
            </w:r>
            <w:r>
              <w:rPr>
                <w:rFonts w:hint="default"/>
                <w:i/>
              </w:rPr>
              <w:t>f</w:t>
            </w:r>
            <w:r>
              <w:rPr>
                <w:rFonts w:hint="default"/>
                <w:i/>
                <w:vertAlign w:val="subscript"/>
              </w:rPr>
              <w:t>internal</w:t>
            </w:r>
            <w:r>
              <w:rPr>
                <w:rFonts w:hint="default"/>
              </w:rPr>
              <w:t xml:space="preserve"> is the frequency of the internal signal involved in the mixing product. </w:t>
            </w:r>
            <w:r>
              <w:rPr>
                <w:rFonts w:hint="default"/>
                <w:i/>
              </w:rPr>
              <w:t>m</w:t>
            </w:r>
            <w:r>
              <w:rPr>
                <w:rFonts w:hint="default"/>
              </w:rPr>
              <w:t xml:space="preserve"> can assume the values 1, 2, 3, … and </w:t>
            </w:r>
            <w:r>
              <w:rPr>
                <w:rFonts w:hint="default"/>
                <w:i/>
              </w:rPr>
              <w:t>n</w:t>
            </w:r>
            <w:r>
              <w:rPr>
                <w:rFonts w:hint="default"/>
              </w:rPr>
              <w:t xml:space="preserve"> can assume the values 0, 1, 2, …. Spurious responses for which the harmonic number </w:t>
            </w:r>
            <w:r>
              <w:rPr>
                <w:rFonts w:hint="default"/>
                <w:i/>
              </w:rPr>
              <w:t>m</w:t>
            </w:r>
            <w:r>
              <w:rPr>
                <w:rFonts w:hint="default"/>
              </w:rP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p>
          <w:p w14:paraId="2942059E">
            <w:pPr>
              <w:pStyle w:val="18"/>
              <w:keepNext w:val="0"/>
              <w:keepLines w:val="0"/>
              <w:suppressLineNumbers w:val="0"/>
              <w:snapToGrid w:val="0"/>
              <w:spacing w:before="0" w:beforeAutospacing="0" w:afterAutospacing="0"/>
              <w:ind w:left="0" w:right="0"/>
              <w:rPr>
                <w:rFonts w:hint="default"/>
              </w:rPr>
            </w:pPr>
            <w:r>
              <w:rPr>
                <w:rFonts w:hint="default"/>
              </w:rPr>
              <w:t>To reduce the amount of time used for the time-consuming OTA conformance testing, while continue to ensure that any spurious response within the receive bandwidth will still be verified with sufficient granularity, the measurement step size for interfering signal at frequency above 6 GHz can be set according to the minimum supported BS channel bandwidth as shown in Table 10.6.2-1 in the NR BS type 2-O OTA out-of-band blocking conformance testing. For interfering signal at frequency below 6 GHz, the traditionally measurement step size of 1 MHz can be kept.</w:t>
            </w:r>
          </w:p>
          <w:p w14:paraId="3D8CF3EC">
            <w:pPr>
              <w:pStyle w:val="49"/>
              <w:suppressLineNumbers w:val="0"/>
              <w:spacing w:beforeAutospacing="0" w:afterAutospacing="0"/>
              <w:ind w:left="0" w:right="0"/>
              <w:rPr>
                <w:rFonts w:hint="default"/>
              </w:rPr>
            </w:pPr>
            <w:r>
              <w:rPr>
                <w:rFonts w:hint="default"/>
              </w:rPr>
              <w:t>Table 10.6.2-1: Measurement step size for out-of-band blocking conformance testing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6"/>
              <w:gridCol w:w="417"/>
              <w:gridCol w:w="517"/>
              <w:gridCol w:w="517"/>
              <w:gridCol w:w="517"/>
            </w:tblGrid>
            <w:tr w14:paraId="44FE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07B1918">
                  <w:pPr>
                    <w:pStyle w:val="40"/>
                    <w:suppressLineNumbers w:val="0"/>
                    <w:spacing w:before="0" w:beforeAutospacing="0" w:afterAutospacing="0"/>
                    <w:ind w:left="0" w:right="0"/>
                    <w:rPr>
                      <w:rFonts w:hint="default"/>
                      <w:b/>
                    </w:rPr>
                  </w:pPr>
                  <w:r>
                    <w:rPr>
                      <w:rFonts w:hint="default"/>
                      <w:b/>
                    </w:rPr>
                    <w:t>Minimum supported BS Channel bandwidth of wanted signal [MHz]</w:t>
                  </w:r>
                </w:p>
              </w:tc>
              <w:tc>
                <w:tcPr>
                  <w:tcW w:w="0" w:type="auto"/>
                  <w:shd w:val="clear" w:color="auto" w:fill="auto"/>
                </w:tcPr>
                <w:p w14:paraId="4DEDB956">
                  <w:pPr>
                    <w:pStyle w:val="40"/>
                    <w:suppressLineNumbers w:val="0"/>
                    <w:spacing w:before="0" w:beforeAutospacing="0" w:afterAutospacing="0"/>
                    <w:ind w:left="0" w:right="0"/>
                    <w:rPr>
                      <w:rFonts w:hint="default"/>
                    </w:rPr>
                  </w:pPr>
                  <w:r>
                    <w:rPr>
                      <w:rFonts w:hint="default"/>
                    </w:rPr>
                    <w:t>50</w:t>
                  </w:r>
                </w:p>
              </w:tc>
              <w:tc>
                <w:tcPr>
                  <w:tcW w:w="0" w:type="auto"/>
                  <w:shd w:val="clear" w:color="auto" w:fill="auto"/>
                </w:tcPr>
                <w:p w14:paraId="19B88E64">
                  <w:pPr>
                    <w:pStyle w:val="40"/>
                    <w:suppressLineNumbers w:val="0"/>
                    <w:spacing w:before="0" w:beforeAutospacing="0" w:afterAutospacing="0"/>
                    <w:ind w:left="0" w:right="0"/>
                    <w:rPr>
                      <w:rFonts w:hint="default"/>
                    </w:rPr>
                  </w:pPr>
                  <w:r>
                    <w:rPr>
                      <w:rFonts w:hint="default"/>
                    </w:rPr>
                    <w:t>100</w:t>
                  </w:r>
                </w:p>
              </w:tc>
              <w:tc>
                <w:tcPr>
                  <w:tcW w:w="0" w:type="auto"/>
                  <w:shd w:val="clear" w:color="auto" w:fill="auto"/>
                </w:tcPr>
                <w:p w14:paraId="402C592F">
                  <w:pPr>
                    <w:pStyle w:val="40"/>
                    <w:suppressLineNumbers w:val="0"/>
                    <w:spacing w:before="0" w:beforeAutospacing="0" w:afterAutospacing="0"/>
                    <w:ind w:left="0" w:right="0"/>
                    <w:rPr>
                      <w:rFonts w:hint="default"/>
                    </w:rPr>
                  </w:pPr>
                  <w:r>
                    <w:rPr>
                      <w:rFonts w:hint="default"/>
                    </w:rPr>
                    <w:t>200</w:t>
                  </w:r>
                </w:p>
              </w:tc>
              <w:tc>
                <w:tcPr>
                  <w:tcW w:w="0" w:type="auto"/>
                  <w:shd w:val="clear" w:color="auto" w:fill="auto"/>
                </w:tcPr>
                <w:p w14:paraId="195E0A03">
                  <w:pPr>
                    <w:pStyle w:val="40"/>
                    <w:suppressLineNumbers w:val="0"/>
                    <w:spacing w:before="0" w:beforeAutospacing="0" w:afterAutospacing="0"/>
                    <w:ind w:left="0" w:right="0"/>
                    <w:rPr>
                      <w:rFonts w:hint="default"/>
                    </w:rPr>
                  </w:pPr>
                  <w:r>
                    <w:rPr>
                      <w:rFonts w:hint="default"/>
                    </w:rPr>
                    <w:t>400</w:t>
                  </w:r>
                </w:p>
              </w:tc>
            </w:tr>
            <w:tr w14:paraId="2B46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14:paraId="62D43F2F">
                  <w:pPr>
                    <w:pStyle w:val="40"/>
                    <w:suppressLineNumbers w:val="0"/>
                    <w:spacing w:before="0" w:beforeAutospacing="0" w:afterAutospacing="0"/>
                    <w:ind w:left="0" w:right="0"/>
                    <w:rPr>
                      <w:rFonts w:hint="default"/>
                      <w:b/>
                    </w:rPr>
                  </w:pPr>
                  <w:r>
                    <w:rPr>
                      <w:rFonts w:hint="default"/>
                      <w:b/>
                    </w:rPr>
                    <w:t>Measurement step size for interfering signal [MHz]</w:t>
                  </w:r>
                </w:p>
              </w:tc>
              <w:tc>
                <w:tcPr>
                  <w:tcW w:w="0" w:type="auto"/>
                  <w:shd w:val="clear" w:color="auto" w:fill="auto"/>
                </w:tcPr>
                <w:p w14:paraId="22C68B6C">
                  <w:pPr>
                    <w:pStyle w:val="40"/>
                    <w:suppressLineNumbers w:val="0"/>
                    <w:spacing w:before="0" w:beforeAutospacing="0" w:afterAutospacing="0"/>
                    <w:ind w:left="0" w:right="0"/>
                    <w:rPr>
                      <w:rFonts w:hint="default"/>
                    </w:rPr>
                  </w:pPr>
                  <w:r>
                    <w:rPr>
                      <w:rFonts w:hint="default"/>
                    </w:rPr>
                    <w:t>15</w:t>
                  </w:r>
                </w:p>
              </w:tc>
              <w:tc>
                <w:tcPr>
                  <w:tcW w:w="0" w:type="auto"/>
                  <w:shd w:val="clear" w:color="auto" w:fill="auto"/>
                </w:tcPr>
                <w:p w14:paraId="0F3909B0">
                  <w:pPr>
                    <w:pStyle w:val="40"/>
                    <w:suppressLineNumbers w:val="0"/>
                    <w:spacing w:before="0" w:beforeAutospacing="0" w:afterAutospacing="0"/>
                    <w:ind w:left="0" w:right="0"/>
                    <w:rPr>
                      <w:rFonts w:hint="default"/>
                    </w:rPr>
                  </w:pPr>
                  <w:r>
                    <w:rPr>
                      <w:rFonts w:hint="default"/>
                    </w:rPr>
                    <w:t>30</w:t>
                  </w:r>
                </w:p>
              </w:tc>
              <w:tc>
                <w:tcPr>
                  <w:tcW w:w="0" w:type="auto"/>
                  <w:shd w:val="clear" w:color="auto" w:fill="auto"/>
                </w:tcPr>
                <w:p w14:paraId="164E8361">
                  <w:pPr>
                    <w:pStyle w:val="40"/>
                    <w:suppressLineNumbers w:val="0"/>
                    <w:spacing w:before="0" w:beforeAutospacing="0" w:afterAutospacing="0"/>
                    <w:ind w:left="0" w:right="0"/>
                    <w:rPr>
                      <w:rFonts w:hint="default"/>
                    </w:rPr>
                  </w:pPr>
                  <w:r>
                    <w:rPr>
                      <w:rFonts w:hint="default"/>
                    </w:rPr>
                    <w:t>60</w:t>
                  </w:r>
                </w:p>
              </w:tc>
              <w:tc>
                <w:tcPr>
                  <w:tcW w:w="0" w:type="auto"/>
                  <w:shd w:val="clear" w:color="auto" w:fill="auto"/>
                </w:tcPr>
                <w:p w14:paraId="45A871C1">
                  <w:pPr>
                    <w:pStyle w:val="40"/>
                    <w:suppressLineNumbers w:val="0"/>
                    <w:spacing w:before="0" w:beforeAutospacing="0" w:afterAutospacing="0"/>
                    <w:ind w:left="0" w:right="0"/>
                    <w:rPr>
                      <w:rFonts w:hint="default"/>
                    </w:rPr>
                  </w:pPr>
                  <w:r>
                    <w:rPr>
                      <w:rFonts w:hint="default"/>
                    </w:rPr>
                    <w:t>60</w:t>
                  </w:r>
                </w:p>
              </w:tc>
            </w:tr>
          </w:tbl>
          <w:p w14:paraId="434BF941">
            <w:pPr>
              <w:keepNext w:val="0"/>
              <w:keepLines w:val="0"/>
              <w:suppressLineNumbers w:val="0"/>
              <w:spacing w:before="0" w:beforeAutospacing="0" w:afterAutospacing="0"/>
              <w:ind w:left="0" w:right="0"/>
              <w:rPr>
                <w:rFonts w:hint="default"/>
                <w:vertAlign w:val="baseline"/>
                <w:lang w:val="en-US" w:eastAsia="zh-CN"/>
              </w:rPr>
            </w:pPr>
          </w:p>
        </w:tc>
      </w:tr>
    </w:tbl>
    <w:p w14:paraId="348E8340">
      <w:pPr>
        <w:rPr>
          <w:rFonts w:hint="default"/>
          <w:lang w:val="en-US" w:eastAsia="zh-CN"/>
        </w:rPr>
      </w:pPr>
    </w:p>
    <w:p w14:paraId="58595FA1">
      <w:pPr>
        <w:pStyle w:val="23"/>
        <w:keepNext w:val="0"/>
        <w:keepLines w:val="0"/>
        <w:widowControl/>
        <w:suppressLineNumbers w:val="0"/>
        <w:spacing w:before="0" w:beforeAutospacing="0" w:after="0" w:afterAutospacing="0" w:line="240" w:lineRule="auto"/>
        <w:ind w:left="0" w:right="0" w:firstLine="0"/>
        <w:jc w:val="left"/>
        <w:rPr>
          <w:rFonts w:hint="default"/>
          <w:lang w:val="en-US" w:eastAsia="zh-CN"/>
        </w:rPr>
      </w:pPr>
      <w:r>
        <w:rPr>
          <w:rFonts w:hint="eastAsia" w:ascii="Times New Roman" w:hAnsi="Times New Roman" w:eastAsia="宋体" w:cs="Times New Roman"/>
          <w:kern w:val="2"/>
          <w:sz w:val="21"/>
          <w:szCs w:val="22"/>
          <w:lang w:val="en-US" w:eastAsia="zh-CN" w:bidi="ar-SA"/>
        </w:rPr>
        <w:t xml:space="preserve">As shown in the following figure 6, if we want to ensure the </w:t>
      </w:r>
      <w:r>
        <w:rPr>
          <w:rFonts w:hint="default" w:ascii="Times New Roman" w:hAnsi="Times New Roman" w:eastAsia="宋体" w:cs="Times New Roman"/>
          <w:kern w:val="2"/>
          <w:sz w:val="21"/>
          <w:szCs w:val="22"/>
          <w:lang w:val="en-US" w:eastAsia="zh-CN" w:bidi="ar-SA"/>
        </w:rPr>
        <w:t>±</w:t>
      </w:r>
      <w:r>
        <w:rPr>
          <w:rFonts w:hint="eastAsia" w:ascii="Times New Roman" w:hAnsi="Times New Roman" w:cs="Times New Roman"/>
          <w:kern w:val="2"/>
          <w:sz w:val="21"/>
          <w:szCs w:val="22"/>
          <w:lang w:val="en-US" w:eastAsia="zh-CN" w:bidi="ar-SA"/>
        </w:rPr>
        <w:t>3</w:t>
      </w:r>
      <w:r>
        <w:rPr>
          <w:rFonts w:hint="default" w:ascii="Times New Roman" w:hAnsi="Times New Roman" w:eastAsia="宋体" w:cs="Times New Roman"/>
          <w:kern w:val="2"/>
          <w:sz w:val="21"/>
          <w:szCs w:val="22"/>
          <w:lang w:val="en-US" w:eastAsia="zh-CN" w:bidi="ar-SA"/>
        </w:rPr>
        <w:t>·f</w:t>
      </w:r>
      <w:r>
        <w:rPr>
          <w:rFonts w:hint="default" w:ascii="Times New Roman" w:hAnsi="Times New Roman" w:eastAsia="宋体" w:cs="Times New Roman"/>
          <w:kern w:val="2"/>
          <w:sz w:val="21"/>
          <w:szCs w:val="22"/>
          <w:vertAlign w:val="subscript"/>
          <w:lang w:val="en-US" w:eastAsia="zh-CN" w:bidi="ar-SA"/>
        </w:rPr>
        <w:t>CW</w:t>
      </w:r>
      <w:r>
        <w:rPr>
          <w:rFonts w:hint="default" w:ascii="Times New Roman" w:hAnsi="Times New Roman" w:eastAsia="宋体" w:cs="Times New Roman"/>
          <w:kern w:val="2"/>
          <w:sz w:val="21"/>
          <w:szCs w:val="22"/>
          <w:lang w:val="en-US" w:eastAsia="zh-CN" w:bidi="ar-SA"/>
        </w:rPr>
        <w:t>±n·f</w:t>
      </w:r>
      <w:r>
        <w:rPr>
          <w:rFonts w:hint="default" w:ascii="Times New Roman" w:hAnsi="Times New Roman" w:eastAsia="宋体" w:cs="Times New Roman"/>
          <w:kern w:val="2"/>
          <w:sz w:val="21"/>
          <w:szCs w:val="22"/>
          <w:vertAlign w:val="subscript"/>
          <w:lang w:val="en-US" w:eastAsia="zh-CN" w:bidi="ar-SA"/>
        </w:rPr>
        <w:t>internal</w:t>
      </w:r>
      <w:r>
        <w:rPr>
          <w:rFonts w:hint="eastAsia" w:ascii="Times New Roman" w:hAnsi="Times New Roman" w:cs="Times New Roman"/>
          <w:kern w:val="2"/>
          <w:sz w:val="21"/>
          <w:szCs w:val="22"/>
          <w:vertAlign w:val="subscript"/>
          <w:lang w:val="en-US" w:eastAsia="zh-CN" w:bidi="ar-SA"/>
        </w:rPr>
        <w:t xml:space="preserve"> </w:t>
      </w:r>
      <w:r>
        <w:rPr>
          <w:rFonts w:hint="eastAsia" w:ascii="Times New Roman" w:hAnsi="Times New Roman" w:eastAsia="宋体" w:cs="Times New Roman"/>
          <w:kern w:val="2"/>
          <w:sz w:val="21"/>
          <w:szCs w:val="22"/>
          <w:lang w:val="en-US" w:eastAsia="zh-CN" w:bidi="ar-SA"/>
        </w:rPr>
        <w:t>fallin</w:t>
      </w:r>
      <w:r>
        <w:rPr>
          <w:rFonts w:hint="eastAsia" w:ascii="Times New Roman" w:hAnsi="Times New Roman" w:cs="Times New Roman"/>
          <w:kern w:val="2"/>
          <w:sz w:val="21"/>
          <w:szCs w:val="22"/>
          <w:lang w:val="en-US" w:eastAsia="zh-CN" w:bidi="ar-SA"/>
        </w:rPr>
        <w:t xml:space="preserve">g within receiver bandwidth, the step size of CW signal should be less than 1/3 of BW. </w:t>
      </w:r>
    </w:p>
    <w:p w14:paraId="448C1FF2">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267450" cy="2705100"/>
            <wp:effectExtent l="0" t="0" r="0"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7"/>
                    <a:stretch>
                      <a:fillRect/>
                    </a:stretch>
                  </pic:blipFill>
                  <pic:spPr>
                    <a:xfrm>
                      <a:off x="0" y="0"/>
                      <a:ext cx="6267450" cy="2705100"/>
                    </a:xfrm>
                    <a:prstGeom prst="rect">
                      <a:avLst/>
                    </a:prstGeom>
                    <a:noFill/>
                    <a:ln w="9525">
                      <a:noFill/>
                    </a:ln>
                  </pic:spPr>
                </pic:pic>
              </a:graphicData>
            </a:graphic>
          </wp:inline>
        </w:drawing>
      </w:r>
    </w:p>
    <w:p w14:paraId="79F644F8">
      <w:pPr>
        <w:keepNext w:val="0"/>
        <w:keepLines w:val="0"/>
        <w:widowControl/>
        <w:suppressLineNumbers w:val="0"/>
        <w:jc w:val="left"/>
        <w:rPr>
          <w:rFonts w:ascii="宋体" w:hAnsi="宋体" w:eastAsia="宋体" w:cs="宋体"/>
          <w:kern w:val="0"/>
          <w:sz w:val="24"/>
          <w:szCs w:val="24"/>
          <w:lang w:val="en-US" w:eastAsia="zh-CN" w:bidi="ar"/>
        </w:rPr>
      </w:pPr>
    </w:p>
    <w:p w14:paraId="0EBE631B">
      <w:pPr>
        <w:jc w:val="center"/>
        <w:rPr>
          <w:rFonts w:hint="eastAsia"/>
          <w:lang w:val="en-US" w:eastAsia="zh-CN"/>
        </w:rPr>
      </w:pPr>
      <w:r>
        <w:rPr>
          <w:rFonts w:hint="eastAsia" w:eastAsia="宋体"/>
          <w:lang w:eastAsia="zh-CN"/>
        </w:rPr>
        <w:t xml:space="preserve">Figure </w:t>
      </w:r>
      <w:r>
        <w:rPr>
          <w:rFonts w:hint="eastAsia"/>
          <w:lang w:val="en-US" w:eastAsia="zh-CN"/>
        </w:rPr>
        <w:t>6.</w:t>
      </w:r>
      <w:r>
        <w:rPr>
          <w:rFonts w:hint="eastAsia" w:eastAsia="宋体"/>
          <w:lang w:eastAsia="zh-CN"/>
        </w:rPr>
        <w:t xml:space="preserve"> </w:t>
      </w:r>
      <w:r>
        <w:rPr>
          <w:rFonts w:hint="eastAsia"/>
          <w:lang w:val="en-US" w:eastAsia="zh-CN"/>
        </w:rPr>
        <w:t>the illustration of relationship between step size for CW signal and receiver bandwidth for testing</w:t>
      </w:r>
    </w:p>
    <w:p w14:paraId="676DA8C2">
      <w:pPr>
        <w:jc w:val="left"/>
        <w:rPr>
          <w:rFonts w:hint="default"/>
          <w:lang w:val="en-US" w:eastAsia="zh-CN"/>
        </w:rPr>
      </w:pPr>
      <w:r>
        <w:rPr>
          <w:rFonts w:hint="eastAsia"/>
          <w:lang w:val="en-US" w:eastAsia="zh-CN"/>
        </w:rPr>
        <w:t>If we go with option 2 as captured in the WF [8], it is possible that IMD between 3</w:t>
      </w:r>
      <w:r>
        <w:rPr>
          <w:rFonts w:hint="eastAsia"/>
          <w:vertAlign w:val="superscript"/>
          <w:lang w:val="en-US" w:eastAsia="zh-CN"/>
        </w:rPr>
        <w:t>rd</w:t>
      </w:r>
      <w:r>
        <w:rPr>
          <w:rFonts w:hint="eastAsia"/>
          <w:lang w:val="en-US" w:eastAsia="zh-CN"/>
        </w:rPr>
        <w:t xml:space="preserve"> harmonic signal of testing CW signal and internal clock cannot been falling within the carrier bandwidth. </w:t>
      </w:r>
    </w:p>
    <w:p w14:paraId="51659646">
      <w:r>
        <w:rPr>
          <w:rFonts w:hint="eastAsia"/>
          <w:b/>
          <w:bCs/>
          <w:lang w:val="en-US" w:eastAsia="zh-CN"/>
        </w:rPr>
        <w:t>Proposals 1:</w:t>
      </w:r>
      <w:r>
        <w:rPr>
          <w:rFonts w:hint="eastAsia"/>
          <w:lang w:val="en-US" w:eastAsia="zh-CN"/>
        </w:rPr>
        <w:t xml:space="preserve"> propose to reuse the principle design for Rel-15 FR2 BS OOBB CW step size e.g. 1/3 of BW as captured in TR 38.817-02. </w:t>
      </w:r>
    </w:p>
    <w:bookmarkEnd w:id="1"/>
    <w:bookmarkEnd w:id="2"/>
    <w:bookmarkEnd w:id="3"/>
    <w:bookmarkEnd w:id="4"/>
    <w:p w14:paraId="76E9689F">
      <w:pPr>
        <w:pStyle w:val="59"/>
        <w:tabs>
          <w:tab w:val="left" w:pos="567"/>
          <w:tab w:val="clear" w:pos="1985"/>
        </w:tabs>
        <w:adjustRightInd w:val="0"/>
        <w:ind w:left="510" w:hanging="510"/>
      </w:pPr>
      <w:r>
        <w:t>Conclusions</w:t>
      </w:r>
    </w:p>
    <w:p w14:paraId="1D7DA7E2">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default" w:ascii="Times New Roman" w:hAnsi="Times New Roman" w:cs="Times New Roman"/>
          <w:sz w:val="21"/>
          <w:szCs w:val="21"/>
          <w:lang w:val="en-US"/>
        </w:rPr>
        <w:t>OTA test scope cases</w:t>
      </w:r>
      <w:r>
        <w:rPr>
          <w:rFonts w:hint="eastAsia" w:eastAsiaTheme="minorEastAsia"/>
        </w:rPr>
        <w:t xml:space="preserve"> in RAN4 and proposals are made as following: </w:t>
      </w:r>
    </w:p>
    <w:p w14:paraId="47E93EB1">
      <w:pPr>
        <w:rPr>
          <w:rFonts w:hint="eastAsia"/>
          <w:lang w:val="en-US" w:eastAsia="zh-CN"/>
        </w:rPr>
      </w:pPr>
      <w:r>
        <w:rPr>
          <w:rFonts w:hint="eastAsia"/>
          <w:b/>
          <w:bCs/>
          <w:lang w:val="en-US" w:eastAsia="zh-CN"/>
        </w:rPr>
        <w:t>Proposals 1:</w:t>
      </w:r>
      <w:r>
        <w:rPr>
          <w:rFonts w:hint="eastAsia"/>
          <w:lang w:val="en-US" w:eastAsia="zh-CN"/>
        </w:rPr>
        <w:t xml:space="preserve"> propose to reuse the principle design for Rel-15 FR2 BS OOBB CW step size e.g. 1/3 of BW as captured in TR 38.817-02.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4456"/>
        <w:gridCol w:w="1377"/>
      </w:tblGrid>
      <w:tr w14:paraId="7113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14:paraId="2D2F0FF3">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Frequency range</w:t>
            </w:r>
          </w:p>
          <w:p w14:paraId="661982A6">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(MHz)</w:t>
            </w:r>
          </w:p>
        </w:tc>
        <w:tc>
          <w:tcPr>
            <w:tcW w:w="4456" w:type="dxa"/>
            <w:tcBorders>
              <w:top w:val="single" w:color="auto" w:sz="4" w:space="0"/>
              <w:left w:val="single" w:color="auto" w:sz="4" w:space="0"/>
              <w:bottom w:val="single" w:color="auto" w:sz="4" w:space="0"/>
              <w:right w:val="single" w:color="auto" w:sz="4" w:space="0"/>
            </w:tcBorders>
          </w:tcPr>
          <w:p w14:paraId="1D63568F">
            <w:pPr>
              <w:keepNext/>
              <w:keepLines/>
              <w:suppressLineNumbers w:val="0"/>
              <w:spacing w:before="0" w:beforeAutospacing="0" w:after="0" w:afterAutospacing="0"/>
              <w:ind w:left="0" w:right="0"/>
              <w:jc w:val="center"/>
              <w:rPr>
                <w:rFonts w:hint="default" w:ascii="Arial" w:hAnsi="Arial" w:eastAsia="等线" w:cs="Arial"/>
                <w:b/>
                <w:kern w:val="2"/>
                <w:sz w:val="18"/>
                <w:szCs w:val="22"/>
                <w:lang w:val="it-IT"/>
              </w:rPr>
            </w:pPr>
            <w:r>
              <w:rPr>
                <w:rFonts w:hint="eastAsia" w:ascii="Arial" w:hAnsi="Arial" w:eastAsia="等线" w:cs="Arial"/>
                <w:b/>
                <w:kern w:val="2"/>
                <w:sz w:val="18"/>
                <w:szCs w:val="22"/>
                <w:lang w:val="it-IT"/>
              </w:rPr>
              <w:t>Minimum supported</w:t>
            </w:r>
            <w:r>
              <w:rPr>
                <w:rFonts w:hint="eastAsia" w:ascii="Arial" w:hAnsi="Arial" w:eastAsia="等线" w:cs="Arial"/>
                <w:b/>
                <w:i/>
                <w:kern w:val="2"/>
                <w:sz w:val="18"/>
                <w:szCs w:val="22"/>
                <w:lang w:val="it-IT"/>
              </w:rPr>
              <w:t xml:space="preserve"> BS channel bandwidth</w:t>
            </w:r>
            <w:r>
              <w:rPr>
                <w:rFonts w:hint="eastAsia" w:ascii="Arial" w:hAnsi="Arial" w:eastAsia="等线" w:cs="Arial"/>
                <w:b/>
                <w:kern w:val="2"/>
                <w:sz w:val="18"/>
                <w:szCs w:val="22"/>
                <w:lang w:val="it-IT"/>
              </w:rPr>
              <w:t xml:space="preserve"> (MHz)</w:t>
            </w:r>
          </w:p>
        </w:tc>
        <w:tc>
          <w:tcPr>
            <w:tcW w:w="1377" w:type="dxa"/>
            <w:tcBorders>
              <w:top w:val="single" w:color="auto" w:sz="4" w:space="0"/>
              <w:left w:val="single" w:color="auto" w:sz="4" w:space="0"/>
              <w:bottom w:val="single" w:color="auto" w:sz="4" w:space="0"/>
              <w:right w:val="single" w:color="auto" w:sz="4" w:space="0"/>
            </w:tcBorders>
          </w:tcPr>
          <w:p w14:paraId="743FE543">
            <w:pPr>
              <w:keepNext/>
              <w:keepLines/>
              <w:suppressLineNumbers w:val="0"/>
              <w:spacing w:before="0" w:beforeAutospacing="0" w:after="0" w:afterAutospacing="0"/>
              <w:ind w:left="0" w:right="0"/>
              <w:jc w:val="center"/>
              <w:rPr>
                <w:rFonts w:hint="default" w:ascii="Arial" w:hAnsi="Arial" w:eastAsia="等线" w:cs="Arial"/>
                <w:b/>
                <w:kern w:val="2"/>
                <w:sz w:val="18"/>
                <w:szCs w:val="22"/>
              </w:rPr>
            </w:pPr>
            <w:r>
              <w:rPr>
                <w:rFonts w:hint="eastAsia" w:ascii="Arial" w:hAnsi="Arial" w:eastAsia="等线" w:cs="Arial"/>
                <w:b/>
                <w:kern w:val="2"/>
                <w:sz w:val="18"/>
                <w:szCs w:val="22"/>
                <w:lang w:val="en-US"/>
              </w:rPr>
              <w:t>Measurement</w:t>
            </w:r>
          </w:p>
          <w:p w14:paraId="7812206E">
            <w:pPr>
              <w:keepNext/>
              <w:keepLines/>
              <w:suppressLineNumbers w:val="0"/>
              <w:spacing w:before="0" w:beforeAutospacing="0" w:after="0" w:afterAutospacing="0"/>
              <w:ind w:left="0" w:right="0"/>
              <w:jc w:val="center"/>
              <w:rPr>
                <w:rFonts w:hint="default" w:ascii="Arial" w:hAnsi="Arial" w:eastAsia="等线" w:cs="Arial"/>
                <w:b/>
                <w:kern w:val="2"/>
                <w:sz w:val="18"/>
                <w:szCs w:val="22"/>
                <w:lang w:val="en-US"/>
              </w:rPr>
            </w:pPr>
            <w:r>
              <w:rPr>
                <w:rFonts w:hint="eastAsia" w:ascii="Arial" w:hAnsi="Arial" w:eastAsia="等线" w:cs="Arial"/>
                <w:b/>
                <w:kern w:val="2"/>
                <w:sz w:val="18"/>
                <w:szCs w:val="22"/>
                <w:lang w:val="en-US"/>
              </w:rPr>
              <w:t>step size</w:t>
            </w:r>
          </w:p>
          <w:p w14:paraId="15CA70A4">
            <w:pPr>
              <w:keepNext/>
              <w:keepLines/>
              <w:suppressLineNumbers w:val="0"/>
              <w:spacing w:before="0" w:beforeAutospacing="0" w:after="0" w:afterAutospacing="0"/>
              <w:ind w:left="0" w:right="0"/>
              <w:jc w:val="center"/>
              <w:rPr>
                <w:rFonts w:hint="default" w:ascii="Arial" w:hAnsi="Arial" w:eastAsia="等线" w:cs="Arial"/>
                <w:b/>
                <w:kern w:val="2"/>
                <w:sz w:val="18"/>
                <w:szCs w:val="22"/>
                <w:lang w:val="en-US"/>
              </w:rPr>
            </w:pPr>
            <w:r>
              <w:rPr>
                <w:rFonts w:hint="eastAsia" w:ascii="Arial" w:hAnsi="Arial" w:eastAsia="等线" w:cs="Arial"/>
                <w:b/>
                <w:kern w:val="2"/>
                <w:sz w:val="18"/>
                <w:szCs w:val="22"/>
                <w:lang w:val="en-US"/>
              </w:rPr>
              <w:t>(MHz)</w:t>
            </w:r>
          </w:p>
        </w:tc>
      </w:tr>
      <w:tr w14:paraId="4442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nil"/>
              <w:right w:val="single" w:color="auto" w:sz="4" w:space="0"/>
            </w:tcBorders>
          </w:tcPr>
          <w:p w14:paraId="3BABCF96">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FR1</w:t>
            </w:r>
          </w:p>
        </w:tc>
        <w:tc>
          <w:tcPr>
            <w:tcW w:w="4456" w:type="dxa"/>
            <w:tcBorders>
              <w:top w:val="single" w:color="auto" w:sz="4" w:space="0"/>
              <w:left w:val="single" w:color="auto" w:sz="4" w:space="0"/>
              <w:bottom w:val="single" w:color="auto" w:sz="4" w:space="0"/>
              <w:right w:val="single" w:color="auto" w:sz="4" w:space="0"/>
            </w:tcBorders>
          </w:tcPr>
          <w:p w14:paraId="1EE2122E">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5</w:t>
            </w:r>
          </w:p>
        </w:tc>
        <w:tc>
          <w:tcPr>
            <w:tcW w:w="1377" w:type="dxa"/>
            <w:tcBorders>
              <w:top w:val="single" w:color="auto" w:sz="4" w:space="0"/>
              <w:left w:val="single" w:color="auto" w:sz="4" w:space="0"/>
              <w:bottom w:val="single" w:color="auto" w:sz="4" w:space="0"/>
              <w:right w:val="single" w:color="auto" w:sz="4" w:space="0"/>
            </w:tcBorders>
          </w:tcPr>
          <w:p w14:paraId="204A3062">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1</w:t>
            </w:r>
          </w:p>
        </w:tc>
      </w:tr>
      <w:tr w14:paraId="079A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nil"/>
              <w:right w:val="single" w:color="auto" w:sz="4" w:space="0"/>
            </w:tcBorders>
          </w:tcPr>
          <w:p w14:paraId="2FA36CE5">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2C7489E5">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10</w:t>
            </w:r>
          </w:p>
        </w:tc>
        <w:tc>
          <w:tcPr>
            <w:tcW w:w="1377" w:type="dxa"/>
            <w:tcBorders>
              <w:top w:val="single" w:color="auto" w:sz="4" w:space="0"/>
              <w:left w:val="single" w:color="auto" w:sz="4" w:space="0"/>
              <w:bottom w:val="single" w:color="auto" w:sz="4" w:space="0"/>
              <w:right w:val="single" w:color="auto" w:sz="4" w:space="0"/>
            </w:tcBorders>
          </w:tcPr>
          <w:p w14:paraId="146DCD16">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3</w:t>
            </w:r>
          </w:p>
        </w:tc>
      </w:tr>
      <w:tr w14:paraId="0B71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left w:val="single" w:color="auto" w:sz="4" w:space="0"/>
              <w:bottom w:val="single" w:color="auto" w:sz="4" w:space="0"/>
              <w:right w:val="single" w:color="auto" w:sz="4" w:space="0"/>
            </w:tcBorders>
          </w:tcPr>
          <w:p w14:paraId="2D7B96AE">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47617339">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 xml:space="preserve">20 </w:t>
            </w:r>
          </w:p>
        </w:tc>
        <w:tc>
          <w:tcPr>
            <w:tcW w:w="1377" w:type="dxa"/>
            <w:tcBorders>
              <w:top w:val="single" w:color="auto" w:sz="4" w:space="0"/>
              <w:left w:val="single" w:color="auto" w:sz="4" w:space="0"/>
              <w:bottom w:val="single" w:color="auto" w:sz="4" w:space="0"/>
              <w:right w:val="single" w:color="auto" w:sz="4" w:space="0"/>
            </w:tcBorders>
          </w:tcPr>
          <w:p w14:paraId="0A7F832B">
            <w:pPr>
              <w:keepNext/>
              <w:keepLines/>
              <w:suppressLineNumbers w:val="0"/>
              <w:spacing w:before="0" w:beforeAutospacing="0" w:after="0" w:afterAutospacing="0"/>
              <w:ind w:left="0" w:right="0"/>
              <w:jc w:val="center"/>
              <w:rPr>
                <w:rFonts w:hint="default" w:ascii="Arial" w:hAnsi="Arial" w:eastAsia="等线" w:cs="Arial"/>
                <w:kern w:val="2"/>
                <w:sz w:val="18"/>
                <w:szCs w:val="22"/>
                <w:lang w:val="en-US"/>
              </w:rPr>
            </w:pPr>
            <w:r>
              <w:rPr>
                <w:rFonts w:hint="eastAsia" w:ascii="Arial" w:hAnsi="Arial" w:eastAsia="等线" w:cs="Arial"/>
                <w:kern w:val="2"/>
                <w:sz w:val="18"/>
                <w:szCs w:val="22"/>
                <w:lang w:val="en-US"/>
              </w:rPr>
              <w:t>6</w:t>
            </w:r>
          </w:p>
        </w:tc>
      </w:tr>
    </w:tbl>
    <w:p w14:paraId="6388A538">
      <w:pPr>
        <w:pStyle w:val="59"/>
        <w:tabs>
          <w:tab w:val="left" w:pos="567"/>
          <w:tab w:val="clear" w:pos="1985"/>
        </w:tabs>
        <w:adjustRightInd w:val="0"/>
        <w:ind w:left="510" w:hanging="510"/>
      </w:pPr>
      <w:r>
        <w:t>References</w:t>
      </w:r>
    </w:p>
    <w:p w14:paraId="085F043E">
      <w:pPr>
        <w:pStyle w:val="57"/>
        <w:numPr>
          <w:ilvl w:val="0"/>
          <w:numId w:val="6"/>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RP-240829,New WID: WI resulting from discussion on BS RF requirement evolution, Approved.</w:t>
      </w:r>
    </w:p>
    <w:p w14:paraId="50364358">
      <w:pPr>
        <w:pStyle w:val="57"/>
        <w:numPr>
          <w:ilvl w:val="0"/>
          <w:numId w:val="6"/>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RP-240430</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Views on BS RF topics for Rel-19</w:t>
      </w:r>
      <w:r>
        <w:rPr>
          <w:rFonts w:hint="eastAsia" w:ascii="Times New Roman" w:hAnsi="Times New Roman" w:cs="Times New Roman"/>
          <w:sz w:val="20"/>
          <w:szCs w:val="20"/>
          <w:lang w:val="en-US" w:eastAsia="zh-CN"/>
        </w:rPr>
        <w:t>, Huawei, approved.</w:t>
      </w:r>
    </w:p>
    <w:p w14:paraId="3CFAC7B8">
      <w:pPr>
        <w:pStyle w:val="57"/>
        <w:numPr>
          <w:ilvl w:val="0"/>
          <w:numId w:val="6"/>
        </w:numPr>
        <w:spacing w:after="0" w:line="260" w:lineRule="auto"/>
        <w:rPr>
          <w:rFonts w:hint="eastAsia" w:eastAsia="宋体"/>
          <w:sz w:val="20"/>
          <w:szCs w:val="20"/>
          <w:lang w:val="en-US" w:eastAsia="zh-CN"/>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[4] R4-2419828</w:t>
      </w:r>
      <w:r>
        <w:rPr>
          <w:rFonts w:hint="eastAsia" w:eastAsia="宋体"/>
          <w:sz w:val="20"/>
          <w:szCs w:val="20"/>
          <w:lang w:val="en-US" w:eastAsia="zh-CN"/>
        </w:rPr>
        <w:tab/>
      </w:r>
      <w:r>
        <w:rPr>
          <w:rFonts w:hint="eastAsia" w:eastAsia="宋体"/>
          <w:sz w:val="20"/>
          <w:szCs w:val="20"/>
          <w:lang w:val="en-US" w:eastAsia="zh-CN"/>
        </w:rPr>
        <w:t>Way Forward for [113][304] NR_BS_RF_Part3_OTA_TRP</w:t>
      </w:r>
    </w:p>
    <w:p w14:paraId="76472812">
      <w:pPr>
        <w:pStyle w:val="57"/>
        <w:numPr>
          <w:ilvl w:val="0"/>
          <w:numId w:val="6"/>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R4-2419243</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Test case reduction for TX IM, Huawei</w:t>
      </w:r>
    </w:p>
    <w:p w14:paraId="122CAE82">
      <w:pPr>
        <w:pStyle w:val="57"/>
        <w:numPr>
          <w:ilvl w:val="0"/>
          <w:numId w:val="6"/>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R4-1709451   Conducted transmit intermodulation for NR BS range 1, ZTE</w:t>
      </w:r>
    </w:p>
    <w:p w14:paraId="739426F6">
      <w:pPr>
        <w:pStyle w:val="57"/>
        <w:numPr>
          <w:ilvl w:val="0"/>
          <w:numId w:val="6"/>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R4-2504740</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Way Forward for [114bis][304] NR_BS_RF_Part3_OTA_TRP, ZTE, approved.</w:t>
      </w:r>
    </w:p>
    <w:p w14:paraId="1796734A">
      <w:pPr>
        <w:pStyle w:val="57"/>
        <w:numPr>
          <w:ilvl w:val="0"/>
          <w:numId w:val="6"/>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R4-2508658   Way Forward for [115][304] NR_BS_RF_Part3_OTA_TRP, approved.</w:t>
      </w:r>
    </w:p>
    <w:p w14:paraId="4D8A88B8">
      <w:pPr>
        <w:pStyle w:val="57"/>
        <w:numPr>
          <w:ilvl w:val="0"/>
          <w:numId w:val="6"/>
        </w:numPr>
        <w:spacing w:after="0" w:line="260" w:lineRule="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R4-2512580  Way Forward for [115][304] NR_BS_RF_Part3_OTA_TRP_final</w:t>
      </w:r>
    </w:p>
    <w:p w14:paraId="5E7E6070">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52790">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78C670F"/>
    <w:multiLevelType w:val="multilevel"/>
    <w:tmpl w:val="578C670F"/>
    <w:lvl w:ilvl="0" w:tentative="0">
      <w:start w:val="1"/>
      <w:numFmt w:val="bullet"/>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E06"/>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2F37F7"/>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13CD0"/>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13409"/>
    <w:rsid w:val="02927A98"/>
    <w:rsid w:val="029342BD"/>
    <w:rsid w:val="029D3139"/>
    <w:rsid w:val="02A1111E"/>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0B2D"/>
    <w:rsid w:val="0315569B"/>
    <w:rsid w:val="031712C4"/>
    <w:rsid w:val="03186045"/>
    <w:rsid w:val="031967AA"/>
    <w:rsid w:val="031A5DF1"/>
    <w:rsid w:val="031E0FAC"/>
    <w:rsid w:val="031E4C95"/>
    <w:rsid w:val="0324064C"/>
    <w:rsid w:val="03245BEB"/>
    <w:rsid w:val="03251730"/>
    <w:rsid w:val="03260F70"/>
    <w:rsid w:val="03284E77"/>
    <w:rsid w:val="032907E2"/>
    <w:rsid w:val="03290A22"/>
    <w:rsid w:val="032C55B7"/>
    <w:rsid w:val="032E4DBB"/>
    <w:rsid w:val="0332111E"/>
    <w:rsid w:val="03332CAE"/>
    <w:rsid w:val="03343BC7"/>
    <w:rsid w:val="033773F8"/>
    <w:rsid w:val="033D44BC"/>
    <w:rsid w:val="033E2E60"/>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17B5"/>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476839"/>
    <w:rsid w:val="044A0402"/>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565ED"/>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A5DA7"/>
    <w:rsid w:val="064B521E"/>
    <w:rsid w:val="064C2727"/>
    <w:rsid w:val="065740AF"/>
    <w:rsid w:val="0657562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D0109"/>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95DEE"/>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B7BA0"/>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8FF26FB"/>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3D420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66BCD"/>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54C76"/>
    <w:rsid w:val="0A2705E1"/>
    <w:rsid w:val="0A2A6A0B"/>
    <w:rsid w:val="0A2B1C45"/>
    <w:rsid w:val="0A312533"/>
    <w:rsid w:val="0A335E1D"/>
    <w:rsid w:val="0A3532DE"/>
    <w:rsid w:val="0A380065"/>
    <w:rsid w:val="0A3A0D5D"/>
    <w:rsid w:val="0A3D6784"/>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A329D"/>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5663D"/>
    <w:rsid w:val="0BDA3782"/>
    <w:rsid w:val="0BDB5584"/>
    <w:rsid w:val="0BE0026A"/>
    <w:rsid w:val="0BE03DAA"/>
    <w:rsid w:val="0BE17727"/>
    <w:rsid w:val="0BEC55E4"/>
    <w:rsid w:val="0BF277E3"/>
    <w:rsid w:val="0BF427F9"/>
    <w:rsid w:val="0BF614B9"/>
    <w:rsid w:val="0BFE4B3A"/>
    <w:rsid w:val="0BFF7C5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D442E"/>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0D6AA9"/>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93835"/>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970D8"/>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90846"/>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807FE"/>
    <w:rsid w:val="111A28E5"/>
    <w:rsid w:val="111D0087"/>
    <w:rsid w:val="111D46E5"/>
    <w:rsid w:val="111E5679"/>
    <w:rsid w:val="11280A27"/>
    <w:rsid w:val="112F54D2"/>
    <w:rsid w:val="11324C3A"/>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CA68E9"/>
    <w:rsid w:val="11D96062"/>
    <w:rsid w:val="11DD7754"/>
    <w:rsid w:val="11E4369D"/>
    <w:rsid w:val="11EA6B41"/>
    <w:rsid w:val="11EE4F27"/>
    <w:rsid w:val="11F0307F"/>
    <w:rsid w:val="11F267E8"/>
    <w:rsid w:val="11F427FC"/>
    <w:rsid w:val="11FA2D7A"/>
    <w:rsid w:val="11FA7F03"/>
    <w:rsid w:val="12066C25"/>
    <w:rsid w:val="120711AA"/>
    <w:rsid w:val="121010CB"/>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754F6"/>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10222"/>
    <w:rsid w:val="14083E7D"/>
    <w:rsid w:val="140D0471"/>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83A0B"/>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02117"/>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E834C7"/>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A32C5"/>
    <w:rsid w:val="172B6CEB"/>
    <w:rsid w:val="172E31B3"/>
    <w:rsid w:val="17343071"/>
    <w:rsid w:val="17350245"/>
    <w:rsid w:val="17382580"/>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8C538D"/>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1452"/>
    <w:rsid w:val="18E921AF"/>
    <w:rsid w:val="18EA68A3"/>
    <w:rsid w:val="18F06558"/>
    <w:rsid w:val="18F3471F"/>
    <w:rsid w:val="18F40581"/>
    <w:rsid w:val="18F41ADC"/>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4320C"/>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11C67"/>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6035E"/>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0BE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81B"/>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57E6"/>
    <w:rsid w:val="1D023336"/>
    <w:rsid w:val="1D031DDA"/>
    <w:rsid w:val="1D0A0015"/>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84857"/>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5E7A6C"/>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A1543"/>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4F5520"/>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82D26"/>
    <w:rsid w:val="2000119F"/>
    <w:rsid w:val="20007200"/>
    <w:rsid w:val="20023827"/>
    <w:rsid w:val="200D53BE"/>
    <w:rsid w:val="200E46CD"/>
    <w:rsid w:val="20107ED3"/>
    <w:rsid w:val="201359DF"/>
    <w:rsid w:val="20140382"/>
    <w:rsid w:val="201C304F"/>
    <w:rsid w:val="201C690F"/>
    <w:rsid w:val="2022327E"/>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66C4C"/>
    <w:rsid w:val="205A627C"/>
    <w:rsid w:val="206301A7"/>
    <w:rsid w:val="20642E89"/>
    <w:rsid w:val="2067334B"/>
    <w:rsid w:val="206D3F96"/>
    <w:rsid w:val="206D7380"/>
    <w:rsid w:val="206F7CD5"/>
    <w:rsid w:val="2070080A"/>
    <w:rsid w:val="207778B9"/>
    <w:rsid w:val="207A2037"/>
    <w:rsid w:val="207E34E5"/>
    <w:rsid w:val="20850EC1"/>
    <w:rsid w:val="20911227"/>
    <w:rsid w:val="20934FE0"/>
    <w:rsid w:val="209511C3"/>
    <w:rsid w:val="209A17A4"/>
    <w:rsid w:val="209E715A"/>
    <w:rsid w:val="20A70ABE"/>
    <w:rsid w:val="20AA418C"/>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B1801"/>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02EE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B0BB1"/>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504E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70F30"/>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D61965"/>
    <w:rsid w:val="24E57853"/>
    <w:rsid w:val="24E77BE6"/>
    <w:rsid w:val="24EB7A12"/>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120C"/>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1530A"/>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5E5D04"/>
    <w:rsid w:val="2866568E"/>
    <w:rsid w:val="28693318"/>
    <w:rsid w:val="286B3B61"/>
    <w:rsid w:val="286B52E0"/>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53062"/>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62171"/>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9B22FF"/>
    <w:rsid w:val="2BA252E6"/>
    <w:rsid w:val="2BA53554"/>
    <w:rsid w:val="2BAC4FE7"/>
    <w:rsid w:val="2BB0363B"/>
    <w:rsid w:val="2BB44220"/>
    <w:rsid w:val="2BB44986"/>
    <w:rsid w:val="2BB61EA7"/>
    <w:rsid w:val="2BBA6EF5"/>
    <w:rsid w:val="2BBD5502"/>
    <w:rsid w:val="2BBE53B4"/>
    <w:rsid w:val="2BC03979"/>
    <w:rsid w:val="2BC873B9"/>
    <w:rsid w:val="2BC941AF"/>
    <w:rsid w:val="2BCC24B9"/>
    <w:rsid w:val="2BD01C8D"/>
    <w:rsid w:val="2BDC02CD"/>
    <w:rsid w:val="2BDF4442"/>
    <w:rsid w:val="2BE571D6"/>
    <w:rsid w:val="2BE64A3E"/>
    <w:rsid w:val="2BEC4F7F"/>
    <w:rsid w:val="2BF00C4E"/>
    <w:rsid w:val="2BF01DD3"/>
    <w:rsid w:val="2BF428FD"/>
    <w:rsid w:val="2BF51B27"/>
    <w:rsid w:val="2BF52156"/>
    <w:rsid w:val="2C005788"/>
    <w:rsid w:val="2C1005B8"/>
    <w:rsid w:val="2C11705A"/>
    <w:rsid w:val="2C1216FD"/>
    <w:rsid w:val="2C1A4267"/>
    <w:rsid w:val="2C1D636E"/>
    <w:rsid w:val="2C1F2C4F"/>
    <w:rsid w:val="2C1F7DED"/>
    <w:rsid w:val="2C2062AE"/>
    <w:rsid w:val="2C212418"/>
    <w:rsid w:val="2C23745C"/>
    <w:rsid w:val="2C253658"/>
    <w:rsid w:val="2C274174"/>
    <w:rsid w:val="2C2F1705"/>
    <w:rsid w:val="2C31232B"/>
    <w:rsid w:val="2C312736"/>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027FC"/>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2049B"/>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95C19"/>
    <w:rsid w:val="2E0F3A78"/>
    <w:rsid w:val="2E1530A6"/>
    <w:rsid w:val="2E160B5E"/>
    <w:rsid w:val="2E1817EA"/>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50316"/>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95633"/>
    <w:rsid w:val="2FFC7785"/>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41DB4"/>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0B520B"/>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B20D2"/>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1470F"/>
    <w:rsid w:val="321E250B"/>
    <w:rsid w:val="32226597"/>
    <w:rsid w:val="322367EB"/>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41B45"/>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701C31"/>
    <w:rsid w:val="36720A4C"/>
    <w:rsid w:val="367210E9"/>
    <w:rsid w:val="36752210"/>
    <w:rsid w:val="36776A4B"/>
    <w:rsid w:val="3681695C"/>
    <w:rsid w:val="36820E97"/>
    <w:rsid w:val="36884498"/>
    <w:rsid w:val="36922B55"/>
    <w:rsid w:val="369260AD"/>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B4661"/>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6B25"/>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A22BF"/>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EF5069"/>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9E2E3C"/>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47C54"/>
    <w:rsid w:val="3A654A7F"/>
    <w:rsid w:val="3A6F486B"/>
    <w:rsid w:val="3A711C68"/>
    <w:rsid w:val="3A7927E8"/>
    <w:rsid w:val="3A796E46"/>
    <w:rsid w:val="3A7A647F"/>
    <w:rsid w:val="3A7C159F"/>
    <w:rsid w:val="3A81194F"/>
    <w:rsid w:val="3A8B3C77"/>
    <w:rsid w:val="3A91536C"/>
    <w:rsid w:val="3A916A1A"/>
    <w:rsid w:val="3A93025F"/>
    <w:rsid w:val="3A971F5B"/>
    <w:rsid w:val="3A9879D0"/>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CF2245"/>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7E5E"/>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31DD"/>
    <w:rsid w:val="3BE253C4"/>
    <w:rsid w:val="3BE54BAD"/>
    <w:rsid w:val="3BE6675A"/>
    <w:rsid w:val="3BE745F7"/>
    <w:rsid w:val="3BF10AAD"/>
    <w:rsid w:val="3BF13FB8"/>
    <w:rsid w:val="3BF22C4A"/>
    <w:rsid w:val="3BF35E3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D5D32"/>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0AA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968CD"/>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40A49"/>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9193C"/>
    <w:rsid w:val="3FEB1C22"/>
    <w:rsid w:val="3FEC4DA4"/>
    <w:rsid w:val="3FEE2117"/>
    <w:rsid w:val="3FEF3241"/>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145BA"/>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A218D"/>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942A2"/>
    <w:rsid w:val="421B1059"/>
    <w:rsid w:val="422370F9"/>
    <w:rsid w:val="42294221"/>
    <w:rsid w:val="422C32BD"/>
    <w:rsid w:val="422E207E"/>
    <w:rsid w:val="423038F8"/>
    <w:rsid w:val="4231757E"/>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120A7"/>
    <w:rsid w:val="4295760D"/>
    <w:rsid w:val="429A29B1"/>
    <w:rsid w:val="429C1606"/>
    <w:rsid w:val="42A50044"/>
    <w:rsid w:val="42A87389"/>
    <w:rsid w:val="42B63D6B"/>
    <w:rsid w:val="42B92FAE"/>
    <w:rsid w:val="42C5796D"/>
    <w:rsid w:val="42CA4EB2"/>
    <w:rsid w:val="42CB71A7"/>
    <w:rsid w:val="42D02E55"/>
    <w:rsid w:val="42D216FF"/>
    <w:rsid w:val="42D420EA"/>
    <w:rsid w:val="42D67001"/>
    <w:rsid w:val="42E06A10"/>
    <w:rsid w:val="42E23E00"/>
    <w:rsid w:val="42EF51EC"/>
    <w:rsid w:val="42F46A4C"/>
    <w:rsid w:val="42F503E1"/>
    <w:rsid w:val="42F511BA"/>
    <w:rsid w:val="42F875D5"/>
    <w:rsid w:val="42FB10B4"/>
    <w:rsid w:val="42FF3A37"/>
    <w:rsid w:val="430121D5"/>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12798"/>
    <w:rsid w:val="4334749B"/>
    <w:rsid w:val="433C41B8"/>
    <w:rsid w:val="433D2335"/>
    <w:rsid w:val="433F57C3"/>
    <w:rsid w:val="434074A6"/>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26E32"/>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97422"/>
    <w:rsid w:val="463C41CD"/>
    <w:rsid w:val="463E1C6A"/>
    <w:rsid w:val="46466453"/>
    <w:rsid w:val="464871AD"/>
    <w:rsid w:val="464937C4"/>
    <w:rsid w:val="464B3175"/>
    <w:rsid w:val="464E3AE9"/>
    <w:rsid w:val="46541070"/>
    <w:rsid w:val="465918B0"/>
    <w:rsid w:val="46591F99"/>
    <w:rsid w:val="465D0995"/>
    <w:rsid w:val="46601D24"/>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363AF"/>
    <w:rsid w:val="46B419BE"/>
    <w:rsid w:val="46B640D3"/>
    <w:rsid w:val="46B66C70"/>
    <w:rsid w:val="46CD1F17"/>
    <w:rsid w:val="46D126E3"/>
    <w:rsid w:val="46D67289"/>
    <w:rsid w:val="46DB64CD"/>
    <w:rsid w:val="46DC7A43"/>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4F6B"/>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9414A"/>
    <w:rsid w:val="48CB0DA2"/>
    <w:rsid w:val="48D25798"/>
    <w:rsid w:val="48DC218B"/>
    <w:rsid w:val="48E16144"/>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72912"/>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A5A27"/>
    <w:rsid w:val="4A1F7925"/>
    <w:rsid w:val="4A2322DF"/>
    <w:rsid w:val="4A2E7749"/>
    <w:rsid w:val="4A34623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BC79FC"/>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095B"/>
    <w:rsid w:val="4C9538F4"/>
    <w:rsid w:val="4C974009"/>
    <w:rsid w:val="4C987412"/>
    <w:rsid w:val="4CA6111C"/>
    <w:rsid w:val="4CA867B8"/>
    <w:rsid w:val="4CB3742C"/>
    <w:rsid w:val="4CB50036"/>
    <w:rsid w:val="4CB63E1D"/>
    <w:rsid w:val="4CBB546E"/>
    <w:rsid w:val="4CBF6803"/>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4338F2"/>
    <w:rsid w:val="4D471D75"/>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A78E7"/>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85A83"/>
    <w:rsid w:val="4DEB4734"/>
    <w:rsid w:val="4DEC69F6"/>
    <w:rsid w:val="4DEF33CD"/>
    <w:rsid w:val="4DF00490"/>
    <w:rsid w:val="4DF20FEE"/>
    <w:rsid w:val="4DF2434F"/>
    <w:rsid w:val="4DF43CA1"/>
    <w:rsid w:val="4E007E98"/>
    <w:rsid w:val="4E016672"/>
    <w:rsid w:val="4E066F25"/>
    <w:rsid w:val="4E0939E5"/>
    <w:rsid w:val="4E11493B"/>
    <w:rsid w:val="4E116CCD"/>
    <w:rsid w:val="4E131240"/>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AE1632"/>
    <w:rsid w:val="4EB42581"/>
    <w:rsid w:val="4EB67945"/>
    <w:rsid w:val="4EC420B9"/>
    <w:rsid w:val="4EC91E2C"/>
    <w:rsid w:val="4ECA2CB3"/>
    <w:rsid w:val="4ECA741E"/>
    <w:rsid w:val="4ECD7B05"/>
    <w:rsid w:val="4ED32EBD"/>
    <w:rsid w:val="4ED51386"/>
    <w:rsid w:val="4EE07773"/>
    <w:rsid w:val="4EE17B77"/>
    <w:rsid w:val="4EE42E81"/>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77B33"/>
    <w:rsid w:val="4F2C365D"/>
    <w:rsid w:val="4F36758C"/>
    <w:rsid w:val="4F376D93"/>
    <w:rsid w:val="4F3957DF"/>
    <w:rsid w:val="4F3D4163"/>
    <w:rsid w:val="4F4E7DA7"/>
    <w:rsid w:val="4F50208E"/>
    <w:rsid w:val="4F560A53"/>
    <w:rsid w:val="4F5704A1"/>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3F29AA"/>
    <w:rsid w:val="504261AC"/>
    <w:rsid w:val="504311C0"/>
    <w:rsid w:val="50435189"/>
    <w:rsid w:val="50461396"/>
    <w:rsid w:val="504B1149"/>
    <w:rsid w:val="504B5456"/>
    <w:rsid w:val="50506965"/>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82BCE"/>
    <w:rsid w:val="510D4A1E"/>
    <w:rsid w:val="51184E6D"/>
    <w:rsid w:val="51187610"/>
    <w:rsid w:val="511C491F"/>
    <w:rsid w:val="51221850"/>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420FD"/>
    <w:rsid w:val="52063C95"/>
    <w:rsid w:val="52073487"/>
    <w:rsid w:val="520A7B89"/>
    <w:rsid w:val="520E648E"/>
    <w:rsid w:val="521536EF"/>
    <w:rsid w:val="52173BDE"/>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5F1685"/>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C5467"/>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E3CC0"/>
    <w:rsid w:val="54EF1FB8"/>
    <w:rsid w:val="5505644B"/>
    <w:rsid w:val="550E6C32"/>
    <w:rsid w:val="550F4585"/>
    <w:rsid w:val="551C2E90"/>
    <w:rsid w:val="552D52C7"/>
    <w:rsid w:val="55397CF2"/>
    <w:rsid w:val="55402D16"/>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795D"/>
    <w:rsid w:val="55883323"/>
    <w:rsid w:val="55883669"/>
    <w:rsid w:val="558A44CE"/>
    <w:rsid w:val="558D2AE2"/>
    <w:rsid w:val="55906233"/>
    <w:rsid w:val="55910661"/>
    <w:rsid w:val="559537DA"/>
    <w:rsid w:val="559F7787"/>
    <w:rsid w:val="55A47B02"/>
    <w:rsid w:val="55A578C3"/>
    <w:rsid w:val="55A63100"/>
    <w:rsid w:val="55AA5A9F"/>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3E25B5"/>
    <w:rsid w:val="57435CBA"/>
    <w:rsid w:val="574460A0"/>
    <w:rsid w:val="57484376"/>
    <w:rsid w:val="574B4B12"/>
    <w:rsid w:val="575425F9"/>
    <w:rsid w:val="575430BB"/>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A6878"/>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CC10B6"/>
    <w:rsid w:val="58D720A4"/>
    <w:rsid w:val="58DB456A"/>
    <w:rsid w:val="58E56245"/>
    <w:rsid w:val="58E909DD"/>
    <w:rsid w:val="58EB1C90"/>
    <w:rsid w:val="58EE536D"/>
    <w:rsid w:val="58F57D12"/>
    <w:rsid w:val="58F85EFA"/>
    <w:rsid w:val="59094784"/>
    <w:rsid w:val="590D2D27"/>
    <w:rsid w:val="59125193"/>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D73A3"/>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2F2E"/>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C4FC7"/>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3F26AF"/>
    <w:rsid w:val="5C474C2E"/>
    <w:rsid w:val="5C4821F4"/>
    <w:rsid w:val="5C494C6D"/>
    <w:rsid w:val="5C4E5619"/>
    <w:rsid w:val="5C500AF8"/>
    <w:rsid w:val="5C517866"/>
    <w:rsid w:val="5C523483"/>
    <w:rsid w:val="5C5348B4"/>
    <w:rsid w:val="5C5E033F"/>
    <w:rsid w:val="5C66199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D80ABF"/>
    <w:rsid w:val="5CE03F3E"/>
    <w:rsid w:val="5CE1654F"/>
    <w:rsid w:val="5CE47CF9"/>
    <w:rsid w:val="5CEB1D70"/>
    <w:rsid w:val="5CF138A4"/>
    <w:rsid w:val="5CF45558"/>
    <w:rsid w:val="5CF70E19"/>
    <w:rsid w:val="5CFC0E30"/>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5B6707"/>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310DF"/>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66878"/>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6497C"/>
    <w:rsid w:val="5FBF3440"/>
    <w:rsid w:val="5FC53509"/>
    <w:rsid w:val="5FCC5D9F"/>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045A6"/>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31423"/>
    <w:rsid w:val="61D64F2E"/>
    <w:rsid w:val="61D75E5D"/>
    <w:rsid w:val="61E51427"/>
    <w:rsid w:val="61E728F9"/>
    <w:rsid w:val="61F3667F"/>
    <w:rsid w:val="61F43F82"/>
    <w:rsid w:val="61F61035"/>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CB5347"/>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33C3B"/>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0BF"/>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70FC0"/>
    <w:rsid w:val="66980BF6"/>
    <w:rsid w:val="66A17AC3"/>
    <w:rsid w:val="66A27600"/>
    <w:rsid w:val="66A56CDB"/>
    <w:rsid w:val="66AC1D02"/>
    <w:rsid w:val="66AD65FC"/>
    <w:rsid w:val="66AD7F89"/>
    <w:rsid w:val="66AE57BC"/>
    <w:rsid w:val="66B81454"/>
    <w:rsid w:val="66BE1292"/>
    <w:rsid w:val="66BF76F1"/>
    <w:rsid w:val="66C56BA4"/>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5710B"/>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81224"/>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5686A"/>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BF0EA5"/>
    <w:rsid w:val="6BC03721"/>
    <w:rsid w:val="6BC43438"/>
    <w:rsid w:val="6BC51A97"/>
    <w:rsid w:val="6BC95B5F"/>
    <w:rsid w:val="6BCC01D5"/>
    <w:rsid w:val="6BCE135A"/>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E6E3B"/>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9F762E"/>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D585C"/>
    <w:rsid w:val="705E76BE"/>
    <w:rsid w:val="70680AC8"/>
    <w:rsid w:val="70684400"/>
    <w:rsid w:val="706D51B8"/>
    <w:rsid w:val="70712877"/>
    <w:rsid w:val="70737F32"/>
    <w:rsid w:val="70767F2C"/>
    <w:rsid w:val="70785A86"/>
    <w:rsid w:val="707E62BB"/>
    <w:rsid w:val="70871107"/>
    <w:rsid w:val="708E65A9"/>
    <w:rsid w:val="70910C43"/>
    <w:rsid w:val="70936BDF"/>
    <w:rsid w:val="709616C4"/>
    <w:rsid w:val="70992BBC"/>
    <w:rsid w:val="709E4E34"/>
    <w:rsid w:val="709E640C"/>
    <w:rsid w:val="70A106DA"/>
    <w:rsid w:val="70A156F4"/>
    <w:rsid w:val="70A24763"/>
    <w:rsid w:val="70AA32CA"/>
    <w:rsid w:val="70AC0E63"/>
    <w:rsid w:val="70AD5CCA"/>
    <w:rsid w:val="70AF55CD"/>
    <w:rsid w:val="70B058FC"/>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05870"/>
    <w:rsid w:val="7183292B"/>
    <w:rsid w:val="71833314"/>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855C3"/>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13B1"/>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5546CB"/>
    <w:rsid w:val="7467225C"/>
    <w:rsid w:val="7468211B"/>
    <w:rsid w:val="746B086B"/>
    <w:rsid w:val="746B2FD5"/>
    <w:rsid w:val="746C430C"/>
    <w:rsid w:val="746D6628"/>
    <w:rsid w:val="74712155"/>
    <w:rsid w:val="74745BDE"/>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C2B9D"/>
    <w:rsid w:val="74D575AA"/>
    <w:rsid w:val="74D71DDE"/>
    <w:rsid w:val="74D95703"/>
    <w:rsid w:val="74DA7956"/>
    <w:rsid w:val="74E11F86"/>
    <w:rsid w:val="74FB509B"/>
    <w:rsid w:val="74FB6035"/>
    <w:rsid w:val="74FF07F1"/>
    <w:rsid w:val="7502618E"/>
    <w:rsid w:val="7507587E"/>
    <w:rsid w:val="75076FFE"/>
    <w:rsid w:val="750934A8"/>
    <w:rsid w:val="750A15E4"/>
    <w:rsid w:val="750C46DC"/>
    <w:rsid w:val="750C76FA"/>
    <w:rsid w:val="751E29FC"/>
    <w:rsid w:val="7521456C"/>
    <w:rsid w:val="752B3381"/>
    <w:rsid w:val="75325694"/>
    <w:rsid w:val="7534402F"/>
    <w:rsid w:val="75376E15"/>
    <w:rsid w:val="753B454F"/>
    <w:rsid w:val="753D2F68"/>
    <w:rsid w:val="753D6B7D"/>
    <w:rsid w:val="75441B17"/>
    <w:rsid w:val="75457EFF"/>
    <w:rsid w:val="75507C16"/>
    <w:rsid w:val="7554481F"/>
    <w:rsid w:val="75594581"/>
    <w:rsid w:val="755A35FA"/>
    <w:rsid w:val="755A5494"/>
    <w:rsid w:val="75625A16"/>
    <w:rsid w:val="7564200E"/>
    <w:rsid w:val="75663FD1"/>
    <w:rsid w:val="75677137"/>
    <w:rsid w:val="75696461"/>
    <w:rsid w:val="756F19B6"/>
    <w:rsid w:val="757540E3"/>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8718A"/>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017E"/>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B4D31"/>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3CA0"/>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1C3BEC"/>
    <w:rsid w:val="7C206952"/>
    <w:rsid w:val="7C25298A"/>
    <w:rsid w:val="7C2D1C60"/>
    <w:rsid w:val="7C306953"/>
    <w:rsid w:val="7C3832F5"/>
    <w:rsid w:val="7C42281E"/>
    <w:rsid w:val="7C472DAB"/>
    <w:rsid w:val="7C550FEC"/>
    <w:rsid w:val="7C574C21"/>
    <w:rsid w:val="7C583E68"/>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34610"/>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4130C"/>
    <w:rsid w:val="7D9F0F7A"/>
    <w:rsid w:val="7DA40D76"/>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1F1848"/>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76C79"/>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3</Pages>
  <Words>567</Words>
  <Characters>2965</Characters>
  <Lines>130</Lines>
  <Paragraphs>36</Paragraphs>
  <TotalTime>7</TotalTime>
  <ScaleCrop>false</ScaleCrop>
  <LinksUpToDate>false</LinksUpToDate>
  <CharactersWithSpaces>3546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2025-10-03T14:59:37Z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